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D844" w14:textId="55BB7E3D" w:rsidR="00085BDA" w:rsidRDefault="006D6929" w:rsidP="007E1460">
      <w:pPr>
        <w:ind w:left="1418" w:hanging="1418"/>
        <w:jc w:val="center"/>
        <w:outlineLvl w:val="0"/>
        <w:rPr>
          <w:rFonts w:asciiTheme="majorHAnsi" w:eastAsia="Arial Unicode MS" w:hAnsiTheme="majorHAnsi" w:cstheme="minorHAnsi"/>
          <w:b/>
          <w:color w:val="000000"/>
          <w:sz w:val="28"/>
          <w:szCs w:val="22"/>
          <w:u w:color="000000"/>
        </w:rPr>
      </w:pPr>
      <w:r>
        <w:rPr>
          <w:rFonts w:asciiTheme="majorHAnsi" w:eastAsia="Arial Unicode MS" w:hAnsiTheme="majorHAnsi" w:cstheme="minorHAnsi"/>
          <w:b/>
          <w:color w:val="000000"/>
          <w:sz w:val="28"/>
          <w:szCs w:val="22"/>
          <w:u w:color="000000"/>
        </w:rPr>
        <w:t xml:space="preserve"> </w:t>
      </w:r>
    </w:p>
    <w:p w14:paraId="63929200" w14:textId="2D49FFFB" w:rsidR="006D6929" w:rsidRDefault="006D6929" w:rsidP="007E1460">
      <w:pPr>
        <w:ind w:left="1418" w:hanging="1418"/>
        <w:jc w:val="center"/>
        <w:outlineLvl w:val="0"/>
        <w:rPr>
          <w:rFonts w:asciiTheme="majorHAnsi" w:eastAsia="Arial Unicode MS" w:hAnsiTheme="majorHAnsi" w:cstheme="minorHAnsi"/>
          <w:b/>
          <w:color w:val="000000"/>
          <w:sz w:val="28"/>
          <w:szCs w:val="22"/>
          <w:u w:color="000000"/>
        </w:rPr>
      </w:pPr>
    </w:p>
    <w:p w14:paraId="0AEE1049" w14:textId="67171080" w:rsidR="006D6929" w:rsidRPr="00B41595" w:rsidRDefault="006D6929" w:rsidP="007E1460">
      <w:pPr>
        <w:ind w:left="1418" w:hanging="1418"/>
        <w:jc w:val="center"/>
        <w:outlineLvl w:val="0"/>
        <w:rPr>
          <w:rFonts w:asciiTheme="majorHAnsi" w:eastAsia="Arial Unicode MS" w:hAnsiTheme="majorHAnsi" w:cstheme="minorHAnsi"/>
          <w:b/>
          <w:color w:val="000000"/>
          <w:sz w:val="32"/>
          <w:szCs w:val="22"/>
          <w:u w:color="000000"/>
        </w:rPr>
      </w:pPr>
      <w:r w:rsidRPr="00B41595">
        <w:rPr>
          <w:rFonts w:asciiTheme="majorHAnsi" w:eastAsia="Arial Unicode MS" w:hAnsiTheme="majorHAnsi" w:cstheme="minorHAnsi"/>
          <w:b/>
          <w:color w:val="000000"/>
          <w:sz w:val="32"/>
          <w:szCs w:val="22"/>
          <w:u w:color="000000"/>
        </w:rPr>
        <w:t xml:space="preserve">Developing a Student Engagement </w:t>
      </w:r>
      <w:r w:rsidR="00C02AE3" w:rsidRPr="00B41595">
        <w:rPr>
          <w:rFonts w:asciiTheme="majorHAnsi" w:eastAsia="Arial Unicode MS" w:hAnsiTheme="majorHAnsi" w:cstheme="minorHAnsi"/>
          <w:b/>
          <w:color w:val="000000"/>
          <w:sz w:val="32"/>
          <w:szCs w:val="22"/>
          <w:u w:color="000000"/>
        </w:rPr>
        <w:t xml:space="preserve">Policy </w:t>
      </w:r>
    </w:p>
    <w:p w14:paraId="054BBD40" w14:textId="77777777" w:rsidR="007E1460" w:rsidRPr="007E1460" w:rsidRDefault="007E1460" w:rsidP="00085BDA">
      <w:pPr>
        <w:tabs>
          <w:tab w:val="left" w:pos="7200"/>
        </w:tabs>
        <w:ind w:left="1418" w:hanging="1418"/>
        <w:outlineLvl w:val="0"/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</w:pPr>
    </w:p>
    <w:p w14:paraId="3C6D7A9E" w14:textId="77777777" w:rsidR="007E1460" w:rsidRDefault="007E1460" w:rsidP="007E1460">
      <w:pPr>
        <w:tabs>
          <w:tab w:val="left" w:pos="7200"/>
        </w:tabs>
        <w:ind w:left="1418" w:hanging="1418"/>
        <w:outlineLvl w:val="0"/>
        <w:rPr>
          <w:rFonts w:asciiTheme="minorHAnsi" w:eastAsia="Arial Unicode MS" w:hAnsiTheme="minorHAnsi" w:cstheme="minorHAnsi"/>
          <w:b/>
          <w:color w:val="000000"/>
          <w:sz w:val="22"/>
          <w:szCs w:val="22"/>
          <w:u w:color="000000"/>
        </w:rPr>
      </w:pPr>
    </w:p>
    <w:p w14:paraId="061329F2" w14:textId="6FDD46D7" w:rsidR="0075445D" w:rsidRDefault="0075445D">
      <w:bookmarkStart w:id="0" w:name="_GoBack"/>
      <w:bookmarkEnd w:id="0"/>
    </w:p>
    <w:p w14:paraId="16F3941A" w14:textId="6B7D5FFF" w:rsidR="00C02AE3" w:rsidRDefault="00C02AE3">
      <w:pPr>
        <w:rPr>
          <w:rFonts w:asciiTheme="majorHAnsi" w:eastAsia="Arial Unicode MS" w:hAnsiTheme="majorHAnsi" w:cstheme="minorHAnsi"/>
          <w:b/>
          <w:color w:val="000000"/>
          <w:sz w:val="28"/>
          <w:szCs w:val="22"/>
          <w:u w:color="000000"/>
        </w:rPr>
      </w:pPr>
      <w:r>
        <w:rPr>
          <w:rFonts w:asciiTheme="majorHAnsi" w:eastAsia="Arial Unicode MS" w:hAnsiTheme="majorHAnsi" w:cstheme="minorHAnsi"/>
          <w:b/>
          <w:color w:val="000000"/>
          <w:sz w:val="28"/>
          <w:szCs w:val="22"/>
          <w:u w:color="000000"/>
        </w:rPr>
        <w:t>References</w:t>
      </w:r>
    </w:p>
    <w:p w14:paraId="43D89713" w14:textId="09E377D5" w:rsidR="00831161" w:rsidRDefault="00831161"/>
    <w:p w14:paraId="76A77C89" w14:textId="77777777" w:rsidR="00831161" w:rsidRPr="00831161" w:rsidRDefault="00831161" w:rsidP="00831161">
      <w:pPr>
        <w:spacing w:after="160"/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Edwards, M. and Clinton, M. (2018). A study exploring the impact of lecture capture availability and lecture capture usage on student attendance and attainment. Higher Education.</w:t>
      </w:r>
    </w:p>
    <w:p w14:paraId="12617A6D" w14:textId="77777777" w:rsidR="00831161" w:rsidRPr="00831161" w:rsidRDefault="00831161" w:rsidP="00831161">
      <w:pPr>
        <w:spacing w:after="160"/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  <w:proofErr w:type="spellStart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Hixenbaugh</w:t>
      </w:r>
      <w:proofErr w:type="spellEnd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, P. and Thomas, L. (2006). Personal Tutoring in Higher Education. </w:t>
      </w:r>
      <w:proofErr w:type="gramStart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1st</w:t>
      </w:r>
      <w:proofErr w:type="gramEnd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 ed. Stoke-on-Trent: Trentham Books Ltd.</w:t>
      </w:r>
    </w:p>
    <w:p w14:paraId="40A25561" w14:textId="37EDC0DF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Newman</w:t>
      </w:r>
      <w:r w:rsidRPr="00831161">
        <w:rPr>
          <w:rFonts w:asciiTheme="majorHAnsi" w:eastAsia="Calibri" w:hAnsiTheme="majorHAnsi" w:cs="Cambria Math"/>
          <w:sz w:val="22"/>
          <w:szCs w:val="22"/>
          <w:lang w:val="en"/>
        </w:rPr>
        <w:t>‐</w:t>
      </w: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Ford, L., Lloyd, S. and Thomas, S. (2009). An investigation in the effects of gender, prior academic achievement, place of residence, age and attendance on first</w:t>
      </w:r>
      <w:r w:rsidRPr="00831161">
        <w:rPr>
          <w:rFonts w:asciiTheme="majorHAnsi" w:eastAsia="Calibri" w:hAnsiTheme="majorHAnsi" w:cs="Cambria Math"/>
          <w:sz w:val="22"/>
          <w:szCs w:val="22"/>
          <w:lang w:val="en"/>
        </w:rPr>
        <w:t>‐</w:t>
      </w: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year undergraduate attainment. Journal of Applied Research in Higher Education, 1(1), pp.14-28.</w:t>
      </w:r>
    </w:p>
    <w:p w14:paraId="370CFC03" w14:textId="77777777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</w:p>
    <w:p w14:paraId="2EB24368" w14:textId="77777777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Lawson, D. (2015) ‘Mathematics support at the transition to university’, in Grove, M., Croft, T., Kyle, J. and Lawson, D. (eds.) Transitions in undergraduate mathematics education. Birmingham: University of Birmingham, pp. 39-56</w:t>
      </w:r>
    </w:p>
    <w:p w14:paraId="21BB0F50" w14:textId="77777777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</w:p>
    <w:p w14:paraId="37D37EF1" w14:textId="2B02B3DE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  <w:proofErr w:type="spellStart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Lizzio</w:t>
      </w:r>
      <w:proofErr w:type="spellEnd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, A. (2011). The student lifecycle: An integrative framework for guiding practice. </w:t>
      </w:r>
    </w:p>
    <w:p w14:paraId="07D0A61B" w14:textId="2047245D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Brisbane, Australia: Griffith University</w:t>
      </w:r>
    </w:p>
    <w:p w14:paraId="25E8E306" w14:textId="77777777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</w:p>
    <w:p w14:paraId="6A810B8F" w14:textId="644AD561" w:rsidR="00831161" w:rsidRPr="00831161" w:rsidRDefault="00831161" w:rsidP="00831161">
      <w:pPr>
        <w:ind w:left="340"/>
        <w:rPr>
          <w:rFonts w:ascii="Arial" w:eastAsia="Calibri" w:hAnsi="Arial" w:cs="Arial"/>
          <w:color w:val="0563C1"/>
          <w:sz w:val="22"/>
          <w:szCs w:val="22"/>
          <w:lang w:val="en"/>
        </w:rPr>
      </w:pP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Parker, P. (2016). Personal Tutoring enhancing staff and student experiences. In: 0th International Technology, Education and Development Conference. [</w:t>
      </w:r>
      <w:proofErr w:type="gramStart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online</w:t>
      </w:r>
      <w:proofErr w:type="gramEnd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] Valencia: City University of London. Available at:</w:t>
      </w:r>
      <w:r w:rsidRPr="00831161">
        <w:rPr>
          <w:rFonts w:ascii="Arial" w:eastAsia="Calibri" w:hAnsi="Arial" w:cs="Arial"/>
          <w:sz w:val="22"/>
          <w:szCs w:val="22"/>
          <w:lang w:val="en"/>
        </w:rPr>
        <w:t xml:space="preserve"> </w:t>
      </w:r>
      <w:hyperlink r:id="rId10">
        <w:r w:rsidRPr="00831161">
          <w:rPr>
            <w:rStyle w:val="Hyperlink"/>
            <w:rFonts w:asciiTheme="majorHAnsi" w:eastAsia="Calibri" w:hAnsiTheme="majorHAnsi" w:cs="Arial"/>
            <w:color w:val="0563C1"/>
            <w:sz w:val="22"/>
            <w:szCs w:val="22"/>
            <w:lang w:val="en"/>
          </w:rPr>
          <w:t>http://openaccess.city.ac.uk/14131/3/Final%20Personal%20Tutor%20Paper%20for%20Valencia.pdf</w:t>
        </w:r>
      </w:hyperlink>
      <w:r w:rsidRPr="00831161">
        <w:rPr>
          <w:rFonts w:asciiTheme="majorHAnsi" w:eastAsia="Calibri" w:hAnsiTheme="majorHAnsi" w:cs="Arial"/>
          <w:color w:val="0563C1"/>
          <w:sz w:val="22"/>
          <w:szCs w:val="22"/>
          <w:lang w:val="en"/>
        </w:rPr>
        <w:t xml:space="preserve"> [Accessed 20 Nov. 2018].</w:t>
      </w:r>
    </w:p>
    <w:p w14:paraId="343D8A41" w14:textId="77777777" w:rsidR="00831161" w:rsidRPr="00831161" w:rsidRDefault="00831161" w:rsidP="00831161">
      <w:pPr>
        <w:ind w:left="340"/>
        <w:rPr>
          <w:rFonts w:ascii="Arial" w:hAnsi="Arial" w:cs="Arial"/>
          <w:sz w:val="22"/>
          <w:szCs w:val="22"/>
        </w:rPr>
      </w:pPr>
    </w:p>
    <w:p w14:paraId="73A55E2A" w14:textId="77777777" w:rsidR="00831161" w:rsidRPr="00831161" w:rsidRDefault="00831161" w:rsidP="00831161">
      <w:pPr>
        <w:ind w:left="340"/>
        <w:rPr>
          <w:rFonts w:asciiTheme="majorHAnsi" w:hAnsiTheme="majorHAnsi" w:cs="Arial"/>
          <w:sz w:val="22"/>
          <w:szCs w:val="22"/>
        </w:rPr>
      </w:pP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Stephen, D., O'Connell, P. and Hall, M. (2008). ‘Going the extra mile’, ‘fire-fighting’, or ‘laissez-faire’? Re-evaluating personal tutoring relationships within </w:t>
      </w:r>
      <w:proofErr w:type="gramStart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mass</w:t>
      </w:r>
      <w:proofErr w:type="gramEnd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 higher education1. </w:t>
      </w:r>
      <w:r w:rsidRPr="00831161">
        <w:rPr>
          <w:rFonts w:asciiTheme="majorHAnsi" w:eastAsia="Calibri" w:hAnsiTheme="majorHAnsi" w:cs="Arial"/>
          <w:i/>
          <w:sz w:val="22"/>
          <w:szCs w:val="22"/>
          <w:lang w:val="en"/>
        </w:rPr>
        <w:t>Teaching in Higher Education</w:t>
      </w: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, 13(4), pp.449-460. </w:t>
      </w:r>
    </w:p>
    <w:p w14:paraId="6710A46C" w14:textId="77777777" w:rsidR="00831161" w:rsidRPr="00831161" w:rsidRDefault="00831161" w:rsidP="00831161">
      <w:pPr>
        <w:ind w:left="340"/>
        <w:rPr>
          <w:rFonts w:asciiTheme="majorHAnsi" w:eastAsia="Calibri" w:hAnsiTheme="majorHAnsi" w:cs="Arial"/>
          <w:sz w:val="22"/>
          <w:szCs w:val="22"/>
          <w:lang w:val="en"/>
        </w:rPr>
      </w:pPr>
    </w:p>
    <w:p w14:paraId="2A1A5CB5" w14:textId="24D05319" w:rsidR="00831161" w:rsidRPr="00831161" w:rsidRDefault="00831161" w:rsidP="00831161">
      <w:pPr>
        <w:ind w:left="340"/>
        <w:rPr>
          <w:rFonts w:asciiTheme="majorHAnsi" w:hAnsiTheme="majorHAnsi" w:cs="Arial"/>
          <w:sz w:val="22"/>
          <w:szCs w:val="22"/>
        </w:rPr>
      </w:pPr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Thomas, L. (2012). Building Student Engagement and Belonging in Higher Education at a time of Change: Final Report from the </w:t>
      </w:r>
      <w:r w:rsidRPr="00831161">
        <w:rPr>
          <w:rFonts w:asciiTheme="majorHAnsi" w:eastAsia="Calibri" w:hAnsiTheme="majorHAnsi" w:cs="Arial"/>
          <w:i/>
          <w:iCs/>
          <w:sz w:val="22"/>
          <w:szCs w:val="22"/>
          <w:lang w:val="en"/>
        </w:rPr>
        <w:t xml:space="preserve">What Works? Student Retention &amp; Success </w:t>
      </w:r>
      <w:proofErr w:type="spellStart"/>
      <w:r w:rsidRPr="00831161">
        <w:rPr>
          <w:rFonts w:asciiTheme="majorHAnsi" w:eastAsia="Calibri" w:hAnsiTheme="majorHAnsi" w:cs="Arial"/>
          <w:i/>
          <w:iCs/>
          <w:sz w:val="22"/>
          <w:szCs w:val="22"/>
          <w:lang w:val="en"/>
        </w:rPr>
        <w:t>Programme</w:t>
      </w:r>
      <w:proofErr w:type="spellEnd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. Thomas</w:t>
      </w:r>
      <w:proofErr w:type="gramStart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>,  L</w:t>
      </w:r>
      <w:proofErr w:type="gramEnd"/>
      <w:r w:rsidRPr="00831161">
        <w:rPr>
          <w:rFonts w:asciiTheme="majorHAnsi" w:eastAsia="Calibri" w:hAnsiTheme="majorHAnsi" w:cs="Arial"/>
          <w:sz w:val="22"/>
          <w:szCs w:val="22"/>
          <w:lang w:val="en"/>
        </w:rPr>
        <w:t xml:space="preserve">.  (2012). Available at: </w:t>
      </w:r>
      <w:hyperlink r:id="rId11">
        <w:r w:rsidRPr="00831161">
          <w:rPr>
            <w:rStyle w:val="Hyperlink"/>
            <w:rFonts w:asciiTheme="majorHAnsi" w:eastAsia="Calibri" w:hAnsiTheme="majorHAnsi" w:cs="Arial"/>
            <w:color w:val="0563C1"/>
            <w:sz w:val="22"/>
            <w:szCs w:val="22"/>
            <w:lang w:val="en"/>
          </w:rPr>
          <w:t>www.heacademy.ac.uk</w:t>
        </w:r>
      </w:hyperlink>
      <w:r w:rsidRPr="00831161">
        <w:rPr>
          <w:rFonts w:asciiTheme="majorHAnsi" w:eastAsia="Calibri" w:hAnsiTheme="majorHAnsi" w:cs="Arial"/>
          <w:color w:val="0563C1"/>
          <w:sz w:val="22"/>
          <w:szCs w:val="22"/>
          <w:lang w:val="en"/>
        </w:rPr>
        <w:t xml:space="preserve"> [Accessed: 20 November 2018]</w:t>
      </w:r>
    </w:p>
    <w:p w14:paraId="7678D97A" w14:textId="77777777" w:rsidR="00831161" w:rsidRDefault="00831161"/>
    <w:sectPr w:rsidR="00831161" w:rsidSect="007E1460">
      <w:headerReference w:type="default" r:id="rId12"/>
      <w:footerReference w:type="default" r:id="rId13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DCA0D" w14:textId="77777777" w:rsidR="007E1460" w:rsidRDefault="007E1460" w:rsidP="007E1460">
      <w:r>
        <w:separator/>
      </w:r>
    </w:p>
  </w:endnote>
  <w:endnote w:type="continuationSeparator" w:id="0">
    <w:p w14:paraId="7A6F4F3B" w14:textId="77777777" w:rsidR="007E1460" w:rsidRDefault="007E1460" w:rsidP="007E1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8B75" w14:textId="21AC4A3D" w:rsidR="007E1460" w:rsidRDefault="007E1460" w:rsidP="007E1460">
    <w:pPr>
      <w:pStyle w:val="Footer"/>
      <w:ind w:firstLine="72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editId="3AF36735">
          <wp:simplePos x="0" y="0"/>
          <wp:positionH relativeFrom="margin">
            <wp:align>center</wp:align>
          </wp:positionH>
          <wp:positionV relativeFrom="margin">
            <wp:posOffset>8776059</wp:posOffset>
          </wp:positionV>
          <wp:extent cx="5004435" cy="871855"/>
          <wp:effectExtent l="0" t="0" r="5715" b="444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61" t="30179" r="11610" b="53383"/>
                  <a:stretch>
                    <a:fillRect/>
                  </a:stretch>
                </pic:blipFill>
                <pic:spPr bwMode="auto">
                  <a:xfrm>
                    <a:off x="0" y="0"/>
                    <a:ext cx="500443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D50EA" w14:textId="77777777" w:rsidR="007E1460" w:rsidRDefault="007E1460" w:rsidP="007E1460">
      <w:r>
        <w:separator/>
      </w:r>
    </w:p>
  </w:footnote>
  <w:footnote w:type="continuationSeparator" w:id="0">
    <w:p w14:paraId="53A70D6F" w14:textId="77777777" w:rsidR="007E1460" w:rsidRDefault="007E1460" w:rsidP="007E1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B6616" w14:textId="5EB1DFC5" w:rsidR="00F104A4" w:rsidRDefault="006D6929">
    <w:pPr>
      <w:pStyle w:val="Header"/>
    </w:pPr>
    <w:r>
      <w:t>COP4.3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7079D"/>
    <w:multiLevelType w:val="multilevel"/>
    <w:tmpl w:val="1C0EB472"/>
    <w:lvl w:ilvl="0">
      <w:start w:val="85"/>
      <w:numFmt w:val="decimal"/>
      <w:lvlText w:val="%1. 18/19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980" w:hanging="198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80" w:hanging="19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9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9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9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9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9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DA"/>
    <w:rsid w:val="00014338"/>
    <w:rsid w:val="0003193B"/>
    <w:rsid w:val="00072553"/>
    <w:rsid w:val="00085BDA"/>
    <w:rsid w:val="001557BD"/>
    <w:rsid w:val="00180C1E"/>
    <w:rsid w:val="001A2732"/>
    <w:rsid w:val="001E0444"/>
    <w:rsid w:val="001E5C34"/>
    <w:rsid w:val="002316C7"/>
    <w:rsid w:val="00291D6D"/>
    <w:rsid w:val="002F636A"/>
    <w:rsid w:val="00333C37"/>
    <w:rsid w:val="00356911"/>
    <w:rsid w:val="00381FAB"/>
    <w:rsid w:val="003A1E8A"/>
    <w:rsid w:val="00547698"/>
    <w:rsid w:val="00623AD6"/>
    <w:rsid w:val="00633CCC"/>
    <w:rsid w:val="00693E37"/>
    <w:rsid w:val="006D6929"/>
    <w:rsid w:val="006E4F36"/>
    <w:rsid w:val="00733B12"/>
    <w:rsid w:val="00745F28"/>
    <w:rsid w:val="0075445D"/>
    <w:rsid w:val="007A4FE8"/>
    <w:rsid w:val="007E1460"/>
    <w:rsid w:val="0081154E"/>
    <w:rsid w:val="00831161"/>
    <w:rsid w:val="008419E7"/>
    <w:rsid w:val="008A2AB1"/>
    <w:rsid w:val="008E5D86"/>
    <w:rsid w:val="0092209E"/>
    <w:rsid w:val="0094460B"/>
    <w:rsid w:val="00957615"/>
    <w:rsid w:val="00963839"/>
    <w:rsid w:val="00977EF7"/>
    <w:rsid w:val="009E692A"/>
    <w:rsid w:val="00A050BC"/>
    <w:rsid w:val="00A91D61"/>
    <w:rsid w:val="00AE77DE"/>
    <w:rsid w:val="00B25804"/>
    <w:rsid w:val="00B27EE5"/>
    <w:rsid w:val="00B41595"/>
    <w:rsid w:val="00B608BD"/>
    <w:rsid w:val="00B81BC5"/>
    <w:rsid w:val="00B90E8A"/>
    <w:rsid w:val="00BE500B"/>
    <w:rsid w:val="00BF1AD7"/>
    <w:rsid w:val="00BF6370"/>
    <w:rsid w:val="00C02AE3"/>
    <w:rsid w:val="00C02EE6"/>
    <w:rsid w:val="00C8160C"/>
    <w:rsid w:val="00C83C5F"/>
    <w:rsid w:val="00D14FA7"/>
    <w:rsid w:val="00D3024E"/>
    <w:rsid w:val="00D642B9"/>
    <w:rsid w:val="00DB6D2E"/>
    <w:rsid w:val="00E37600"/>
    <w:rsid w:val="00E646A8"/>
    <w:rsid w:val="00EC0D86"/>
    <w:rsid w:val="00F104A4"/>
    <w:rsid w:val="00F57DC8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ABDDB3"/>
  <w15:chartTrackingRefBased/>
  <w15:docId w15:val="{151729D3-B759-4778-A79B-8F5B9B1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085BD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customStyle="1" w:styleId="CPCParagragh">
    <w:name w:val="CPC Paragragh"/>
    <w:basedOn w:val="Normal"/>
    <w:link w:val="CPCParagraghChar"/>
    <w:qFormat/>
    <w:rsid w:val="00085BDA"/>
    <w:pPr>
      <w:ind w:left="1985" w:hanging="1985"/>
      <w:jc w:val="both"/>
      <w:outlineLvl w:val="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paragraph" w:customStyle="1" w:styleId="CPCNumbering">
    <w:name w:val="CPC Numbering"/>
    <w:basedOn w:val="Normal"/>
    <w:next w:val="Normal"/>
    <w:link w:val="CPCNumberingChar"/>
    <w:qFormat/>
    <w:rsid w:val="00085BDA"/>
    <w:pPr>
      <w:tabs>
        <w:tab w:val="left" w:pos="567"/>
      </w:tabs>
      <w:ind w:left="1985" w:hanging="1985"/>
      <w:jc w:val="both"/>
      <w:outlineLvl w:val="0"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customStyle="1" w:styleId="CPCParagraghChar">
    <w:name w:val="CPC Paragragh Char"/>
    <w:link w:val="CPCParagragh"/>
    <w:rsid w:val="00085BDA"/>
    <w:rPr>
      <w:rFonts w:ascii="Arial" w:eastAsia="Arial Unicode MS" w:hAnsi="Arial" w:cs="Arial"/>
      <w:color w:val="000000"/>
      <w:u w:color="000000"/>
    </w:rPr>
  </w:style>
  <w:style w:type="character" w:customStyle="1" w:styleId="CPCNumberingChar">
    <w:name w:val="CPC Numbering Char"/>
    <w:link w:val="CPCNumbering"/>
    <w:rsid w:val="00085BDA"/>
    <w:rPr>
      <w:rFonts w:ascii="Arial" w:eastAsia="Arial Unicode MS" w:hAnsi="Arial" w:cs="Arial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BD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5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4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46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1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cademy.ac.uk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openaccess.city.ac.uk/14131/3/Final%20Personal%20Tutor%20Paper%20for%20Valenci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B9570BF5-09A9-4729-8829-F1EC688F028C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42CD92BA83B6F4E80E79BB7F0D7052F" ma:contentTypeVersion="1" ma:contentTypeDescription="Upload an image." ma:contentTypeScope="" ma:versionID="c6c09afc761bceb86db3198cbffcdafe">
  <xsd:schema xmlns:xsd="http://www.w3.org/2001/XMLSchema" xmlns:xs="http://www.w3.org/2001/XMLSchema" xmlns:p="http://schemas.microsoft.com/office/2006/metadata/properties" xmlns:ns1="http://schemas.microsoft.com/sharepoint/v3" xmlns:ns2="B9570BF5-09A9-4729-8829-F1EC688F028C" xmlns:ns3="http://schemas.microsoft.com/sharepoint/v3/fields" targetNamespace="http://schemas.microsoft.com/office/2006/metadata/properties" ma:root="true" ma:fieldsID="ca319abe7aed71e3fc908bb37eb084e9" ns1:_="" ns2:_="" ns3:_="">
    <xsd:import namespace="http://schemas.microsoft.com/sharepoint/v3"/>
    <xsd:import namespace="B9570BF5-09A9-4729-8829-F1EC688F028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70BF5-09A9-4729-8829-F1EC688F028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40872-21BC-48B2-9C07-8746A6A5E9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EFC96-2A8E-4F8D-8B81-D5159873B9B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2649D38-1131-4D92-B59E-AD76938B56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COP4.3 List of References and Further Reading</dc:title>
  <dc:subject/>
  <dc:creator>Britton, Elizabeth</dc:creator>
  <cp:keywords/>
  <dc:description/>
  <cp:lastModifiedBy>Rawlings, Danielle</cp:lastModifiedBy>
  <cp:revision>6</cp:revision>
  <dcterms:created xsi:type="dcterms:W3CDTF">2020-01-14T14:02:00Z</dcterms:created>
  <dcterms:modified xsi:type="dcterms:W3CDTF">2020-01-14T14:05:00Z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0x0101009148F5A04DDD49CBA7127AADA5FB792B00AADE34325A8B49CDA8BB4DB53328F21400B42CD92BA83B6F4E80E79BB7F0D7052F</vt:lpwstr>
  </property>
  <property fmtid="{D5CDD505-2E9C-101B-9397-08002B2CF9AE}" pid="4" name="VideoSetEmbedCode">
    <vt:lpwstr/>
  </property>
  <property fmtid="{D5CDD505-2E9C-101B-9397-08002B2CF9AE}" pid="5" name="Order">
    <vt:r8>13600</vt:r8>
  </property>
  <property fmtid="{D5CDD505-2E9C-101B-9397-08002B2CF9AE}" pid="6" name="AlternateThumbnailUrl">
    <vt:lpwstr/>
  </property>
  <property fmtid="{D5CDD505-2E9C-101B-9397-08002B2CF9AE}" pid="7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