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CBAC" w14:textId="54022B1A" w:rsidR="008223C4" w:rsidRDefault="00CD13BB" w:rsidP="00704F65">
      <w:pPr>
        <w:pStyle w:val="Title"/>
      </w:pPr>
      <w:r>
        <w:t>Updates to Academic Regulations and Procedures for September 202</w:t>
      </w:r>
      <w:r w:rsidR="0035730B">
        <w:t>3</w:t>
      </w:r>
    </w:p>
    <w:p w14:paraId="55DEC8B5" w14:textId="56672B08" w:rsidR="00704F65" w:rsidRDefault="00704F65"/>
    <w:p w14:paraId="4328AEC4" w14:textId="14A01E2A" w:rsidR="00476FA3" w:rsidRPr="00476FA3" w:rsidRDefault="00B535BA" w:rsidP="00C21037">
      <w:pPr>
        <w:pStyle w:val="Heading1"/>
      </w:pPr>
      <w:r>
        <w:t xml:space="preserve">Amendments </w:t>
      </w:r>
      <w:r w:rsidR="00ED3801">
        <w:t xml:space="preserve">to Volume 1 of the Academic Handbook, </w:t>
      </w:r>
      <w:r>
        <w:t>effective</w:t>
      </w:r>
      <w:r w:rsidR="002850FE">
        <w:t xml:space="preserve"> from September 202</w:t>
      </w:r>
      <w:r w:rsidR="0035730B">
        <w:t>3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0"/>
        <w:gridCol w:w="4385"/>
        <w:gridCol w:w="1574"/>
      </w:tblGrid>
      <w:tr w:rsidR="00D85144" w:rsidRPr="00ED5C7F" w14:paraId="2C035B4A" w14:textId="77777777" w:rsidTr="007B386A">
        <w:tc>
          <w:tcPr>
            <w:tcW w:w="3250" w:type="dxa"/>
            <w:shd w:val="clear" w:color="auto" w:fill="1F4E79" w:themeFill="accent1" w:themeFillShade="80"/>
          </w:tcPr>
          <w:p w14:paraId="2C9BD1C1" w14:textId="77777777" w:rsidR="00D85144" w:rsidRPr="00B535BA" w:rsidRDefault="00D85144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35BA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85" w:type="dxa"/>
            <w:shd w:val="clear" w:color="auto" w:fill="1F4E79" w:themeFill="accent1" w:themeFillShade="80"/>
          </w:tcPr>
          <w:p w14:paraId="70CAA8D6" w14:textId="77777777" w:rsidR="00D85144" w:rsidRPr="00B535BA" w:rsidRDefault="00D85144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B535BA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74" w:type="dxa"/>
            <w:shd w:val="clear" w:color="auto" w:fill="1F4E79" w:themeFill="accent1" w:themeFillShade="80"/>
          </w:tcPr>
          <w:p w14:paraId="29BBFDC6" w14:textId="5BB105F4" w:rsidR="00D85144" w:rsidRPr="00B535BA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Approval </w:t>
            </w:r>
            <w:r w:rsidR="00D85144" w:rsidRPr="00B535BA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D85144" w14:paraId="18388E69" w14:textId="77777777" w:rsidTr="007B386A">
        <w:tc>
          <w:tcPr>
            <w:tcW w:w="3250" w:type="dxa"/>
          </w:tcPr>
          <w:p w14:paraId="6BC56AFA" w14:textId="74A567B8" w:rsidR="00D85144" w:rsidRPr="00B535BA" w:rsidRDefault="00D90599" w:rsidP="009B7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90599">
              <w:rPr>
                <w:rFonts w:ascii="Arial" w:hAnsi="Arial" w:cs="Arial"/>
                <w:b/>
              </w:rPr>
              <w:t>.1</w:t>
            </w:r>
            <w:r w:rsidR="009B797B" w:rsidRPr="00D90599">
              <w:rPr>
                <w:rFonts w:ascii="Arial" w:hAnsi="Arial" w:cs="Arial"/>
                <w:b/>
              </w:rPr>
              <w:t xml:space="preserve"> Assessment </w:t>
            </w:r>
            <w:r>
              <w:rPr>
                <w:rFonts w:ascii="Arial" w:hAnsi="Arial" w:cs="Arial"/>
                <w:b/>
              </w:rPr>
              <w:t>Regulations</w:t>
            </w:r>
          </w:p>
        </w:tc>
        <w:tc>
          <w:tcPr>
            <w:tcW w:w="4385" w:type="dxa"/>
          </w:tcPr>
          <w:p w14:paraId="161FDB53" w14:textId="56390979" w:rsidR="003C30CD" w:rsidRPr="00E528EE" w:rsidRDefault="005A59C0" w:rsidP="00E528EE">
            <w:pPr>
              <w:rPr>
                <w:rFonts w:ascii="Arial" w:hAnsi="Arial" w:cs="Arial"/>
              </w:rPr>
            </w:pPr>
            <w:r w:rsidRPr="00E528EE">
              <w:rPr>
                <w:rFonts w:ascii="Arial" w:hAnsi="Arial" w:cs="Arial"/>
              </w:rPr>
              <w:t xml:space="preserve">Assessment </w:t>
            </w:r>
            <w:r w:rsidR="003C30CD" w:rsidRPr="00E528EE">
              <w:rPr>
                <w:rFonts w:ascii="Arial" w:hAnsi="Arial" w:cs="Arial"/>
              </w:rPr>
              <w:t>R</w:t>
            </w:r>
            <w:r w:rsidRPr="00E528EE">
              <w:rPr>
                <w:rFonts w:ascii="Arial" w:hAnsi="Arial" w:cs="Arial"/>
              </w:rPr>
              <w:t xml:space="preserve">egulations have </w:t>
            </w:r>
            <w:r w:rsidR="00C01F9D" w:rsidRPr="00E528EE">
              <w:rPr>
                <w:rFonts w:ascii="Arial" w:hAnsi="Arial" w:cs="Arial"/>
              </w:rPr>
              <w:t>been streamlined and reordered and incorporate previous sections 10.1 – 10.14 Regulations (Undergraduate and Taught Postgraduate Programmes)</w:t>
            </w:r>
            <w:r w:rsidR="00E528EE">
              <w:rPr>
                <w:rFonts w:ascii="Arial" w:hAnsi="Arial" w:cs="Arial"/>
              </w:rPr>
              <w:t>:</w:t>
            </w:r>
          </w:p>
          <w:p w14:paraId="16F313F8" w14:textId="2BE9800E" w:rsidR="00C77332" w:rsidRPr="00D14608" w:rsidRDefault="00C77332" w:rsidP="00D14608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 xml:space="preserve">Removal of </w:t>
            </w:r>
            <w:r w:rsidR="00D14608" w:rsidRPr="00C77332">
              <w:rPr>
                <w:rFonts w:ascii="Arial" w:eastAsiaTheme="majorEastAsia" w:hAnsi="Arial" w:cstheme="majorBidi"/>
              </w:rPr>
              <w:t>content,</w:t>
            </w:r>
            <w:r w:rsidRPr="00C77332">
              <w:rPr>
                <w:rFonts w:ascii="Arial" w:eastAsiaTheme="majorEastAsia" w:hAnsi="Arial" w:cstheme="majorBidi"/>
              </w:rPr>
              <w:t xml:space="preserve"> which is outdated, </w:t>
            </w:r>
            <w:r w:rsidR="00D14608">
              <w:rPr>
                <w:rFonts w:ascii="Arial" w:eastAsiaTheme="majorEastAsia" w:hAnsi="Arial" w:cstheme="majorBidi"/>
              </w:rPr>
              <w:t xml:space="preserve">duplicated, </w:t>
            </w:r>
            <w:r w:rsidRPr="00C77332">
              <w:rPr>
                <w:rFonts w:ascii="Arial" w:eastAsiaTheme="majorEastAsia" w:hAnsi="Arial" w:cstheme="majorBidi"/>
              </w:rPr>
              <w:t>no longer applicable or out of step with other (more recently updated) parts of the Academic Handbook.</w:t>
            </w:r>
          </w:p>
          <w:p w14:paraId="0651C818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Re-arrangement of remaining content to set out regulations in a more chronological order, mirroring the student experience.</w:t>
            </w:r>
          </w:p>
          <w:p w14:paraId="0A7600A3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Updates to terminology and processes to align with current practice within the university.</w:t>
            </w:r>
          </w:p>
          <w:p w14:paraId="6C031E5E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Removal from 04.1 Assessment Regulations of sections 3 (Methods of Assessment) and 4 (Scheduling of Assessment) for inclusion in the Assessment and Feedback regulations.</w:t>
            </w:r>
          </w:p>
          <w:p w14:paraId="4EB0DBFB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Removal from 04.1 Assessment Regulations of section 7.6 (twenty working days for assessment feedback) for inclusion in the Assessment and Feedback regulations.</w:t>
            </w:r>
          </w:p>
          <w:p w14:paraId="71F4124F" w14:textId="77777777" w:rsidR="00C77332" w:rsidRPr="00C77332" w:rsidRDefault="00C77332" w:rsidP="00C77332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Incorporation and removal of duplication of sections 10.1 – 10.14 Regulations for Undergraduate and Taught Postgraduate Programmes.</w:t>
            </w:r>
          </w:p>
          <w:p w14:paraId="496EC153" w14:textId="1C91E2BC" w:rsidR="005A59C0" w:rsidRPr="00E528EE" w:rsidRDefault="00C77332" w:rsidP="00E528EE">
            <w:pPr>
              <w:pStyle w:val="ListParagraph"/>
              <w:numPr>
                <w:ilvl w:val="0"/>
                <w:numId w:val="1"/>
              </w:numPr>
              <w:spacing w:before="160" w:after="120"/>
              <w:outlineLvl w:val="1"/>
              <w:rPr>
                <w:rFonts w:ascii="Arial" w:eastAsiaTheme="majorEastAsia" w:hAnsi="Arial" w:cstheme="majorBidi"/>
              </w:rPr>
            </w:pPr>
            <w:r w:rsidRPr="00C77332">
              <w:rPr>
                <w:rFonts w:ascii="Arial" w:eastAsiaTheme="majorEastAsia" w:hAnsi="Arial" w:cstheme="majorBidi"/>
              </w:rPr>
              <w:t>Inclusion of a summary table to incorporate unique programme information as previously set out in sections 10.1 – 10.14.</w:t>
            </w:r>
          </w:p>
        </w:tc>
        <w:tc>
          <w:tcPr>
            <w:tcW w:w="1574" w:type="dxa"/>
          </w:tcPr>
          <w:p w14:paraId="7402530A" w14:textId="3E6D9907" w:rsidR="00D85144" w:rsidRPr="00B535BA" w:rsidRDefault="003C30C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2023, AQSC</w:t>
            </w:r>
          </w:p>
        </w:tc>
      </w:tr>
      <w:tr w:rsidR="002E1BA0" w14:paraId="134D6C10" w14:textId="77777777" w:rsidTr="007B386A">
        <w:tc>
          <w:tcPr>
            <w:tcW w:w="3250" w:type="dxa"/>
          </w:tcPr>
          <w:p w14:paraId="7680BA64" w14:textId="336CE2EF" w:rsidR="002E1BA0" w:rsidRDefault="00E34B5F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6E704F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50A57">
              <w:rPr>
                <w:rFonts w:ascii="Arial" w:hAnsi="Arial" w:cs="Arial"/>
                <w:b/>
              </w:rPr>
              <w:t>Academic Misconduct</w:t>
            </w:r>
          </w:p>
        </w:tc>
        <w:tc>
          <w:tcPr>
            <w:tcW w:w="4385" w:type="dxa"/>
          </w:tcPr>
          <w:p w14:paraId="3D21600D" w14:textId="1BD58719" w:rsidR="002A12E4" w:rsidRPr="00652F11" w:rsidRDefault="00652F11" w:rsidP="00652F1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Existing</w:t>
            </w:r>
            <w:r w:rsidR="007D07DC">
              <w:rPr>
                <w:rFonts w:ascii="Arial" w:hAnsi="Arial" w:cs="Arial"/>
                <w:iCs/>
              </w:rPr>
              <w:t xml:space="preserve"> 8.1 Unfair Practice Regulations document has been updated and streamlined:</w:t>
            </w:r>
          </w:p>
          <w:p w14:paraId="3B1BBCAC" w14:textId="57065810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Renaming of the procedure from Unfair Practice to Academic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Misconduct.</w:t>
            </w:r>
          </w:p>
          <w:p w14:paraId="3221DF5D" w14:textId="68162382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Addition of examples of academic misconduct such as inappropriate use of AI, attempting to manipulate software such as Turnitin and acting dishonestly during data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collection.</w:t>
            </w:r>
          </w:p>
          <w:p w14:paraId="5882B432" w14:textId="33751DAE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Re-arrangement of content to set out regulations in a more chronological </w:t>
            </w:r>
            <w:r w:rsidR="00D14608"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order.</w:t>
            </w:r>
          </w:p>
          <w:p w14:paraId="2947D1F5" w14:textId="77777777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>Updates to terminology, nominees and processes to align with current practice within the university.</w:t>
            </w:r>
          </w:p>
          <w:p w14:paraId="434E7E25" w14:textId="77777777" w:rsidR="001829C9" w:rsidRPr="001829C9" w:rsidRDefault="001829C9" w:rsidP="001829C9">
            <w:pPr>
              <w:pStyle w:val="Heading2"/>
              <w:keepNext w:val="0"/>
              <w:keepLines w:val="0"/>
              <w:numPr>
                <w:ilvl w:val="0"/>
                <w:numId w:val="1"/>
              </w:numPr>
              <w:spacing w:before="160" w:after="120"/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</w:pPr>
            <w:r w:rsidRPr="001829C9">
              <w:rPr>
                <w:rFonts w:ascii="Arial" w:eastAsiaTheme="minorHAnsi" w:hAnsi="Arial" w:cs="Arial"/>
                <w:iCs/>
                <w:color w:val="auto"/>
                <w:sz w:val="22"/>
                <w:szCs w:val="22"/>
              </w:rPr>
              <w:t xml:space="preserve">Creating a penalties table to make it easier and more transparent for staff and students to understand. </w:t>
            </w:r>
          </w:p>
          <w:p w14:paraId="437B9247" w14:textId="493A97C5" w:rsidR="00962C0B" w:rsidRDefault="00962C0B" w:rsidP="001829C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76A782AF" w14:textId="34925835" w:rsidR="002E1BA0" w:rsidRPr="00B535BA" w:rsidRDefault="00846C15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August</w:t>
            </w:r>
            <w:r w:rsidR="007E6697">
              <w:rPr>
                <w:rFonts w:ascii="Arial" w:hAnsi="Arial" w:cs="Arial"/>
              </w:rPr>
              <w:t xml:space="preserve"> 2023, AQSC</w:t>
            </w:r>
            <w:r>
              <w:rPr>
                <w:rFonts w:ascii="Arial" w:hAnsi="Arial" w:cs="Arial"/>
              </w:rPr>
              <w:t xml:space="preserve"> Chair’s Action</w:t>
            </w:r>
          </w:p>
        </w:tc>
      </w:tr>
      <w:tr w:rsidR="001829C9" w14:paraId="3A29AA09" w14:textId="77777777" w:rsidTr="007B386A">
        <w:tc>
          <w:tcPr>
            <w:tcW w:w="3250" w:type="dxa"/>
          </w:tcPr>
          <w:p w14:paraId="16573E58" w14:textId="20F5D87A" w:rsidR="001829C9" w:rsidRDefault="00945A49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8.3 Guidelines on Penalties for </w:t>
            </w:r>
            <w:r w:rsidR="00850A57">
              <w:rPr>
                <w:rFonts w:ascii="Arial" w:hAnsi="Arial" w:cs="Arial"/>
                <w:b/>
              </w:rPr>
              <w:t>Academic Misconduct</w:t>
            </w:r>
          </w:p>
        </w:tc>
        <w:tc>
          <w:tcPr>
            <w:tcW w:w="4385" w:type="dxa"/>
          </w:tcPr>
          <w:p w14:paraId="526DAFEB" w14:textId="33F43093" w:rsidR="001829C9" w:rsidRDefault="00F021D6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Penalties have been updated to include </w:t>
            </w:r>
            <w:r w:rsidR="005243DD">
              <w:rPr>
                <w:rFonts w:ascii="Arial" w:hAnsi="Arial" w:cs="Arial"/>
                <w:iCs/>
              </w:rPr>
              <w:t>reference to use of artificial intelligence (AI) and other examples of academic misconduct</w:t>
            </w:r>
            <w:r w:rsidR="00B579C8">
              <w:rPr>
                <w:rFonts w:ascii="Arial" w:hAnsi="Arial" w:cs="Arial"/>
                <w:iCs/>
              </w:rPr>
              <w:t>.</w:t>
            </w:r>
          </w:p>
          <w:p w14:paraId="56127BB1" w14:textId="39F84AA6" w:rsidR="005243DD" w:rsidRDefault="00C24279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Penalties are displayed in a table format</w:t>
            </w:r>
            <w:r w:rsidR="00B579C8">
              <w:rPr>
                <w:rFonts w:ascii="Arial" w:hAnsi="Arial" w:cs="Arial"/>
                <w:iCs/>
              </w:rPr>
              <w:t>.</w:t>
            </w:r>
          </w:p>
          <w:p w14:paraId="2BFF804D" w14:textId="79373B2D" w:rsidR="00C24279" w:rsidRDefault="00C24279" w:rsidP="00C2427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03E9C4A5" w14:textId="668AC7C5" w:rsidR="001829C9" w:rsidRPr="00B535BA" w:rsidRDefault="00846C15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46C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  <w:r w:rsidR="00190ABD">
              <w:rPr>
                <w:rFonts w:ascii="Arial" w:hAnsi="Arial" w:cs="Arial"/>
              </w:rPr>
              <w:t xml:space="preserve"> 2023, AQSC </w:t>
            </w:r>
            <w:r>
              <w:rPr>
                <w:rFonts w:ascii="Arial" w:hAnsi="Arial" w:cs="Arial"/>
              </w:rPr>
              <w:t xml:space="preserve">Chair’s Action. </w:t>
            </w:r>
          </w:p>
        </w:tc>
      </w:tr>
      <w:tr w:rsidR="008540D3" w14:paraId="05596A37" w14:textId="77777777" w:rsidTr="007B386A">
        <w:tc>
          <w:tcPr>
            <w:tcW w:w="3250" w:type="dxa"/>
          </w:tcPr>
          <w:p w14:paraId="6EA6F687" w14:textId="46325428" w:rsidR="008540D3" w:rsidRDefault="008540D3" w:rsidP="003E58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Regulations (Undergraduate and Taught Postgraduate Programmes)</w:t>
            </w:r>
          </w:p>
        </w:tc>
        <w:tc>
          <w:tcPr>
            <w:tcW w:w="4385" w:type="dxa"/>
          </w:tcPr>
          <w:p w14:paraId="50F4329A" w14:textId="77777777" w:rsidR="008540D3" w:rsidRDefault="00E36873" w:rsidP="003573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Section 10 Regulations (Undergraduate and Taught Postgraduate Programme) ha</w:t>
            </w:r>
            <w:r w:rsidR="00DE4451">
              <w:rPr>
                <w:rFonts w:ascii="Arial" w:hAnsi="Arial" w:cs="Arial"/>
                <w:iCs/>
              </w:rPr>
              <w:t>ve</w:t>
            </w:r>
            <w:r>
              <w:rPr>
                <w:rFonts w:ascii="Arial" w:hAnsi="Arial" w:cs="Arial"/>
                <w:iCs/>
              </w:rPr>
              <w:t xml:space="preserve"> been removed from the Academic Handbook</w:t>
            </w:r>
            <w:r w:rsidR="00590A76">
              <w:rPr>
                <w:rFonts w:ascii="Arial" w:hAnsi="Arial" w:cs="Arial"/>
                <w:iCs/>
              </w:rPr>
              <w:t xml:space="preserve"> </w:t>
            </w:r>
            <w:r w:rsidR="00EA353A">
              <w:rPr>
                <w:rFonts w:ascii="Arial" w:hAnsi="Arial" w:cs="Arial"/>
                <w:iCs/>
              </w:rPr>
              <w:t xml:space="preserve">with relevant sections now incorporated within </w:t>
            </w:r>
            <w:r w:rsidR="00DE4451">
              <w:rPr>
                <w:rFonts w:ascii="Arial" w:hAnsi="Arial" w:cs="Arial"/>
                <w:iCs/>
              </w:rPr>
              <w:t>section 4.1 Assessment Regulations (see above).</w:t>
            </w:r>
          </w:p>
          <w:p w14:paraId="164C9AD3" w14:textId="1AC953CD" w:rsidR="00C24279" w:rsidRPr="00B535BA" w:rsidRDefault="00C24279" w:rsidP="00C24279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74" w:type="dxa"/>
          </w:tcPr>
          <w:p w14:paraId="13DC4BEC" w14:textId="77777777" w:rsidR="008540D3" w:rsidRPr="00B535BA" w:rsidRDefault="008540D3" w:rsidP="003E583F">
            <w:pPr>
              <w:rPr>
                <w:rFonts w:ascii="Arial" w:hAnsi="Arial" w:cs="Arial"/>
              </w:rPr>
            </w:pPr>
          </w:p>
        </w:tc>
      </w:tr>
    </w:tbl>
    <w:p w14:paraId="74B45308" w14:textId="77777777" w:rsidR="00704F65" w:rsidRDefault="00704F65"/>
    <w:p w14:paraId="755C1AE5" w14:textId="0C0713DC" w:rsidR="002850FE" w:rsidRDefault="002850FE" w:rsidP="003733AE"/>
    <w:sectPr w:rsidR="002850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3BEAE" w14:textId="77777777" w:rsidR="00AB1257" w:rsidRDefault="00AB1257" w:rsidP="00E05A0D">
      <w:pPr>
        <w:spacing w:after="0" w:line="240" w:lineRule="auto"/>
      </w:pPr>
      <w:r>
        <w:separator/>
      </w:r>
    </w:p>
  </w:endnote>
  <w:endnote w:type="continuationSeparator" w:id="0">
    <w:p w14:paraId="2CFF13AC" w14:textId="77777777" w:rsidR="00AB1257" w:rsidRDefault="00AB1257" w:rsidP="00E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1873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8C830" w14:textId="3D21914C" w:rsidR="00383146" w:rsidRDefault="003831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B1896" w14:textId="77777777" w:rsidR="00383146" w:rsidRDefault="00383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A112" w14:textId="77777777" w:rsidR="00AB1257" w:rsidRDefault="00AB1257" w:rsidP="00E05A0D">
      <w:pPr>
        <w:spacing w:after="0" w:line="240" w:lineRule="auto"/>
      </w:pPr>
      <w:r>
        <w:separator/>
      </w:r>
    </w:p>
  </w:footnote>
  <w:footnote w:type="continuationSeparator" w:id="0">
    <w:p w14:paraId="62442DEF" w14:textId="77777777" w:rsidR="00AB1257" w:rsidRDefault="00AB1257" w:rsidP="00E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C9AA" w14:textId="77777777" w:rsidR="00E05A0D" w:rsidRDefault="00E05A0D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  <w:p w14:paraId="6311DD42" w14:textId="70D08E2C" w:rsidR="00E05A0D" w:rsidRPr="00E05A0D" w:rsidRDefault="00E05A0D">
    <w:pPr>
      <w:pStyle w:val="Header"/>
      <w:rPr>
        <w:i/>
      </w:rPr>
    </w:pPr>
    <w:r w:rsidRPr="00E05A0D">
      <w:rPr>
        <w:i/>
      </w:rPr>
      <w:t>September 202</w:t>
    </w:r>
    <w:r w:rsidR="0035730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1D"/>
    <w:multiLevelType w:val="hybridMultilevel"/>
    <w:tmpl w:val="CA8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2EB"/>
    <w:multiLevelType w:val="hybridMultilevel"/>
    <w:tmpl w:val="20F0D726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3B5C"/>
    <w:multiLevelType w:val="hybridMultilevel"/>
    <w:tmpl w:val="F450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D92"/>
    <w:multiLevelType w:val="hybridMultilevel"/>
    <w:tmpl w:val="194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D6E66"/>
    <w:multiLevelType w:val="hybridMultilevel"/>
    <w:tmpl w:val="DC949C4E"/>
    <w:lvl w:ilvl="0" w:tplc="F3268B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B1F68"/>
    <w:multiLevelType w:val="hybridMultilevel"/>
    <w:tmpl w:val="244CF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B529C"/>
    <w:multiLevelType w:val="hybridMultilevel"/>
    <w:tmpl w:val="D05A8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D6E9C"/>
    <w:multiLevelType w:val="hybridMultilevel"/>
    <w:tmpl w:val="08867830"/>
    <w:lvl w:ilvl="0" w:tplc="2E7EDCE6">
      <w:start w:val="29"/>
      <w:numFmt w:val="bullet"/>
      <w:lvlText w:val="-"/>
      <w:lvlJc w:val="left"/>
      <w:pPr>
        <w:ind w:left="938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214250">
    <w:abstractNumId w:val="8"/>
  </w:num>
  <w:num w:numId="2" w16cid:durableId="280764977">
    <w:abstractNumId w:val="3"/>
  </w:num>
  <w:num w:numId="3" w16cid:durableId="677268954">
    <w:abstractNumId w:val="9"/>
  </w:num>
  <w:num w:numId="4" w16cid:durableId="923614258">
    <w:abstractNumId w:val="0"/>
  </w:num>
  <w:num w:numId="5" w16cid:durableId="1471899440">
    <w:abstractNumId w:val="4"/>
  </w:num>
  <w:num w:numId="6" w16cid:durableId="1810048128">
    <w:abstractNumId w:val="13"/>
  </w:num>
  <w:num w:numId="7" w16cid:durableId="1387217803">
    <w:abstractNumId w:val="7"/>
  </w:num>
  <w:num w:numId="8" w16cid:durableId="1116219623">
    <w:abstractNumId w:val="2"/>
  </w:num>
  <w:num w:numId="9" w16cid:durableId="691610135">
    <w:abstractNumId w:val="5"/>
  </w:num>
  <w:num w:numId="10" w16cid:durableId="2113626209">
    <w:abstractNumId w:val="11"/>
  </w:num>
  <w:num w:numId="11" w16cid:durableId="322855209">
    <w:abstractNumId w:val="6"/>
  </w:num>
  <w:num w:numId="12" w16cid:durableId="1078333685">
    <w:abstractNumId w:val="10"/>
  </w:num>
  <w:num w:numId="13" w16cid:durableId="2049639288">
    <w:abstractNumId w:val="1"/>
  </w:num>
  <w:num w:numId="14" w16cid:durableId="16426173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BB"/>
    <w:rsid w:val="00055366"/>
    <w:rsid w:val="00121C9B"/>
    <w:rsid w:val="00122129"/>
    <w:rsid w:val="00157BF3"/>
    <w:rsid w:val="001829C9"/>
    <w:rsid w:val="00190ABD"/>
    <w:rsid w:val="002850FE"/>
    <w:rsid w:val="002A12E4"/>
    <w:rsid w:val="002E1BA0"/>
    <w:rsid w:val="0035730B"/>
    <w:rsid w:val="003733AE"/>
    <w:rsid w:val="00383146"/>
    <w:rsid w:val="003C30CD"/>
    <w:rsid w:val="004616FB"/>
    <w:rsid w:val="00476FA3"/>
    <w:rsid w:val="005243DD"/>
    <w:rsid w:val="0053575C"/>
    <w:rsid w:val="00536128"/>
    <w:rsid w:val="00590A76"/>
    <w:rsid w:val="00596BE2"/>
    <w:rsid w:val="005A59C0"/>
    <w:rsid w:val="005C599B"/>
    <w:rsid w:val="005F210A"/>
    <w:rsid w:val="0061029A"/>
    <w:rsid w:val="00622D93"/>
    <w:rsid w:val="00652F11"/>
    <w:rsid w:val="006563BC"/>
    <w:rsid w:val="0066428B"/>
    <w:rsid w:val="00670BC2"/>
    <w:rsid w:val="006E704F"/>
    <w:rsid w:val="00704F65"/>
    <w:rsid w:val="00715E13"/>
    <w:rsid w:val="007235A8"/>
    <w:rsid w:val="00751C8A"/>
    <w:rsid w:val="007B386A"/>
    <w:rsid w:val="007C7998"/>
    <w:rsid w:val="007D07DC"/>
    <w:rsid w:val="007E6697"/>
    <w:rsid w:val="008223C4"/>
    <w:rsid w:val="008413F9"/>
    <w:rsid w:val="00846C15"/>
    <w:rsid w:val="00850A57"/>
    <w:rsid w:val="008540D3"/>
    <w:rsid w:val="0090711F"/>
    <w:rsid w:val="00945A49"/>
    <w:rsid w:val="00962C0B"/>
    <w:rsid w:val="009B797B"/>
    <w:rsid w:val="009E62BD"/>
    <w:rsid w:val="00A93945"/>
    <w:rsid w:val="00AB1257"/>
    <w:rsid w:val="00AE22AA"/>
    <w:rsid w:val="00B535BA"/>
    <w:rsid w:val="00B579C8"/>
    <w:rsid w:val="00BC683B"/>
    <w:rsid w:val="00C01F9D"/>
    <w:rsid w:val="00C21037"/>
    <w:rsid w:val="00C24279"/>
    <w:rsid w:val="00C33ECE"/>
    <w:rsid w:val="00C44211"/>
    <w:rsid w:val="00C4519E"/>
    <w:rsid w:val="00C77332"/>
    <w:rsid w:val="00CD13BB"/>
    <w:rsid w:val="00D00E0F"/>
    <w:rsid w:val="00D14608"/>
    <w:rsid w:val="00D85144"/>
    <w:rsid w:val="00D90599"/>
    <w:rsid w:val="00DA0BB9"/>
    <w:rsid w:val="00DB3509"/>
    <w:rsid w:val="00DE4451"/>
    <w:rsid w:val="00E05A0D"/>
    <w:rsid w:val="00E34B5F"/>
    <w:rsid w:val="00E36873"/>
    <w:rsid w:val="00E528EE"/>
    <w:rsid w:val="00EA353A"/>
    <w:rsid w:val="00EA57E0"/>
    <w:rsid w:val="00ED3801"/>
    <w:rsid w:val="00F021D6"/>
    <w:rsid w:val="00F3768F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A6C"/>
  <w15:chartTrackingRefBased/>
  <w15:docId w15:val="{D2FA46A6-1D43-496C-8BF7-77F8AC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5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2B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210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5F210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D"/>
  </w:style>
  <w:style w:type="paragraph" w:styleId="Footer">
    <w:name w:val="footer"/>
    <w:basedOn w:val="Normal"/>
    <w:link w:val="Foot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D"/>
  </w:style>
  <w:style w:type="character" w:styleId="FollowedHyperlink">
    <w:name w:val="FollowedHyperlink"/>
    <w:basedOn w:val="DefaultParagraphFont"/>
    <w:uiPriority w:val="99"/>
    <w:semiHidden/>
    <w:unhideWhenUsed/>
    <w:rsid w:val="00907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1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E10C7-9CAD-4866-8EF9-51FA97D8D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C4332-BCDB-42FB-9142-11F464AFD46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1E4987-D7DF-4F16-8AC0-797106871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Trueman, Richard</cp:lastModifiedBy>
  <cp:revision>13</cp:revision>
  <dcterms:created xsi:type="dcterms:W3CDTF">2023-09-08T13:42:00Z</dcterms:created>
  <dcterms:modified xsi:type="dcterms:W3CDTF">2023-09-25T09:12:00Z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