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7DC8D8FC" w:rsidR="004E359C" w:rsidRDefault="00E76AFA" w:rsidP="004E359C">
      <w:pPr>
        <w:pStyle w:val="Title"/>
        <w:jc w:val="center"/>
      </w:pPr>
      <w:bookmarkStart w:id="0" w:name="_Toc75950285"/>
      <w:bookmarkStart w:id="1" w:name="_Toc75950366"/>
      <w:bookmarkStart w:id="2" w:name="_Toc77936657"/>
      <w:r>
        <w:t>5</w:t>
      </w:r>
      <w:r w:rsidR="004E359C">
        <w:t>.</w:t>
      </w:r>
      <w:r>
        <w:t>1E</w:t>
      </w:r>
    </w:p>
    <w:p w14:paraId="5EF568D5" w14:textId="7D776393" w:rsidR="004E359C" w:rsidRDefault="00E76AFA" w:rsidP="004E359C">
      <w:pPr>
        <w:pStyle w:val="Title"/>
        <w:jc w:val="center"/>
      </w:pPr>
      <w:r>
        <w:t xml:space="preserve">MITIGATING CIRCUMSTANCES </w:t>
      </w:r>
      <w:r w:rsidR="00451CBC">
        <w:t xml:space="preserve">POLICY &amp; </w:t>
      </w:r>
      <w:r>
        <w:t>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CC78C6A" w:rsidR="008C01F1" w:rsidRPr="00D9301C" w:rsidRDefault="00E76AFA" w:rsidP="0041561E">
            <w:pPr>
              <w:rPr>
                <w:rStyle w:val="SubtleEmphasis"/>
              </w:rPr>
            </w:pPr>
            <w:r>
              <w:rPr>
                <w:rStyle w:val="SubtleEmphasis"/>
              </w:rPr>
              <w:t xml:space="preserve">Mitigating Circumstances </w:t>
            </w:r>
            <w:r w:rsidR="00451CBC">
              <w:rPr>
                <w:rStyle w:val="SubtleEmphasis"/>
              </w:rPr>
              <w:t xml:space="preserve">Policy and </w:t>
            </w:r>
            <w:r>
              <w:rPr>
                <w:rStyle w:val="SubtleEmphasis"/>
              </w:rPr>
              <w:t>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01D42D9" w:rsidR="008C01F1" w:rsidRPr="00D9301C" w:rsidRDefault="00E76AFA" w:rsidP="00E76AFA">
            <w:pPr>
              <w:rPr>
                <w:rStyle w:val="SubtleEmphasis"/>
              </w:rPr>
            </w:pPr>
            <w:r>
              <w:rPr>
                <w:rStyle w:val="SubtleEmphasis"/>
              </w:rPr>
              <w:t>20</w:t>
            </w:r>
            <w:r w:rsidR="008C01F1" w:rsidRPr="00D9301C">
              <w:rPr>
                <w:rStyle w:val="SubtleEmphasis"/>
              </w:rPr>
              <w:t xml:space="preserve"> </w:t>
            </w:r>
            <w:r>
              <w:rPr>
                <w:rStyle w:val="SubtleEmphasis"/>
              </w:rPr>
              <w:t>Apr</w:t>
            </w:r>
            <w:r w:rsidR="008C01F1" w:rsidRPr="00D9301C">
              <w:rPr>
                <w:rStyle w:val="SubtleEmphasis"/>
              </w:rPr>
              <w:t xml:space="preserve"> </w:t>
            </w:r>
            <w:r>
              <w:rPr>
                <w:rStyle w:val="SubtleEmphasis"/>
              </w:rPr>
              <w:t>2010</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7F85563" w:rsidR="008C01F1" w:rsidRPr="00D9301C" w:rsidRDefault="004E359C" w:rsidP="0041561E">
            <w:pPr>
              <w:rPr>
                <w:rStyle w:val="SubtleEmphasis"/>
              </w:rPr>
            </w:pPr>
            <w:r>
              <w:rPr>
                <w:rStyle w:val="SubtleEmphasis"/>
              </w:rPr>
              <w:t>Academic Board via AQSC</w:t>
            </w:r>
            <w:r w:rsidR="00787A8D">
              <w:rPr>
                <w:rStyle w:val="SubtleEmphasis"/>
              </w:rPr>
              <w:t>/LTSEC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1779F1A5" w:rsidR="008C01F1" w:rsidRPr="00D9301C" w:rsidRDefault="0034712F" w:rsidP="0041561E">
            <w:pPr>
              <w:rPr>
                <w:rStyle w:val="SubtleEmphasis"/>
              </w:rPr>
            </w:pPr>
            <w:r>
              <w:rPr>
                <w:rStyle w:val="SubtleEmphasis"/>
              </w:rPr>
              <w:t>7</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2116A047" w:rsidR="008C01F1" w:rsidRPr="00D9301C" w:rsidRDefault="00E76AFA" w:rsidP="0041561E">
            <w:pPr>
              <w:rPr>
                <w:rStyle w:val="SubtleEmphasis"/>
              </w:rPr>
            </w:pPr>
            <w:r>
              <w:rPr>
                <w:rStyle w:val="SubtleEmphasis"/>
              </w:rPr>
              <w:t>Feb 2011, Aug 2016, Jan 2018, Jul 2019, Sep 2021, May 2022</w:t>
            </w:r>
            <w:r w:rsidR="0034712F">
              <w:rPr>
                <w:rStyle w:val="SubtleEmphasis"/>
              </w:rPr>
              <w:t>, Jul 2025</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C86F3E2" w:rsidR="008C01F1" w:rsidRPr="00D9301C" w:rsidRDefault="00E76AFA" w:rsidP="0041561E">
            <w:pPr>
              <w:rPr>
                <w:rStyle w:val="SubtleEmphasis"/>
              </w:rPr>
            </w:pPr>
            <w:r>
              <w:rPr>
                <w:rStyle w:val="SubtleEmphasis"/>
              </w:rPr>
              <w:t>202</w:t>
            </w:r>
            <w:r w:rsidR="0034712F">
              <w:rPr>
                <w:rStyle w:val="SubtleEmphasis"/>
              </w:rPr>
              <w:t>6</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1EAE87A" w:rsidR="008C01F1" w:rsidRPr="00D9301C" w:rsidRDefault="00E76AFA" w:rsidP="0041561E">
            <w:pPr>
              <w:rPr>
                <w:rStyle w:val="SubtleEmphasis"/>
              </w:rPr>
            </w:pPr>
            <w:hyperlink r:id="rId8" w:history="1">
              <w:r w:rsidRPr="00E76AFA">
                <w:rPr>
                  <w:rStyle w:val="Hyperlink"/>
                  <w:rFonts w:ascii="Arial" w:hAnsi="Arial"/>
                  <w:i/>
                  <w:iCs/>
                  <w:sz w:val="24"/>
                </w:rPr>
                <w:t>Academic Handbook Ah1_05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2CC9DD9C" w:rsidR="008C01F1" w:rsidRPr="00D9301C" w:rsidRDefault="00E76AFA" w:rsidP="0041561E">
            <w:pPr>
              <w:rPr>
                <w:rStyle w:val="SubtleEmphasis"/>
              </w:rPr>
            </w:pPr>
            <w:r>
              <w:rPr>
                <w:rStyle w:val="SubtleEmphasis"/>
              </w:rPr>
              <w:t>20 Apr 2010</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0D8249AD" w:rsidR="008C01F1" w:rsidRPr="00D9301C" w:rsidRDefault="0034712F" w:rsidP="00E76AFA">
            <w:pPr>
              <w:rPr>
                <w:rStyle w:val="SubtleEmphasis"/>
              </w:rPr>
            </w:pPr>
            <w:r>
              <w:rPr>
                <w:rStyle w:val="SubtleEmphasis"/>
              </w:rPr>
              <w:t>Chief Student Officer</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0B9C4082" w:rsidR="008C01F1" w:rsidRPr="00D9301C" w:rsidRDefault="0034712F" w:rsidP="0041561E">
            <w:pPr>
              <w:rPr>
                <w:rStyle w:val="SubtleEmphasis"/>
              </w:rPr>
            </w:pPr>
            <w:r>
              <w:rPr>
                <w:rStyle w:val="SubtleEmphasis"/>
              </w:rPr>
              <w:t>Registry</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F94703B" w:rsidR="008C01F1" w:rsidRPr="00D9301C" w:rsidRDefault="0034712F" w:rsidP="00E76AFA">
            <w:pPr>
              <w:rPr>
                <w:rStyle w:val="SubtleEmphasis"/>
              </w:rPr>
            </w:pPr>
            <w:r>
              <w:rPr>
                <w:rStyle w:val="SubtleEmphasis"/>
              </w:rPr>
              <w:t>regulation</w:t>
            </w:r>
            <w:r w:rsidR="00E76AFA" w:rsidRPr="00E76AFA">
              <w:rPr>
                <w:rStyle w:val="SubtleEmphasis"/>
              </w:rPr>
              <w:t>s@cardiffmet.ac.uk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3363A5B" w:rsidR="008C01F1" w:rsidRPr="00CD441C" w:rsidRDefault="00E76AFA" w:rsidP="0041561E">
            <w:pPr>
              <w:rPr>
                <w:rStyle w:val="SubtleEmphasis"/>
              </w:rPr>
            </w:pPr>
            <w:r>
              <w:rPr>
                <w:rStyle w:val="SubtleEmphasis"/>
              </w:rPr>
              <w:t>6</w:t>
            </w:r>
          </w:p>
        </w:tc>
        <w:tc>
          <w:tcPr>
            <w:tcW w:w="2126" w:type="dxa"/>
          </w:tcPr>
          <w:p w14:paraId="0B241FE6" w14:textId="7BC67DDA" w:rsidR="008C01F1" w:rsidRPr="00CD441C" w:rsidRDefault="00E76AFA" w:rsidP="00E76AFA">
            <w:pPr>
              <w:rPr>
                <w:rStyle w:val="SubtleEmphasis"/>
              </w:rPr>
            </w:pPr>
            <w:r>
              <w:rPr>
                <w:rStyle w:val="SubtleEmphasis"/>
              </w:rPr>
              <w:t>25</w:t>
            </w:r>
            <w:r w:rsidR="008C01F1">
              <w:rPr>
                <w:rStyle w:val="SubtleEmphasis"/>
              </w:rPr>
              <w:t xml:space="preserve"> M</w:t>
            </w:r>
            <w:r>
              <w:rPr>
                <w:rStyle w:val="SubtleEmphasis"/>
              </w:rPr>
              <w:t>ay</w:t>
            </w:r>
            <w:r w:rsidR="008C01F1">
              <w:rPr>
                <w:rStyle w:val="SubtleEmphasis"/>
              </w:rPr>
              <w:t xml:space="preserve"> </w:t>
            </w:r>
            <w:r>
              <w:rPr>
                <w:rStyle w:val="SubtleEmphasis"/>
              </w:rPr>
              <w:t>2022</w:t>
            </w:r>
          </w:p>
        </w:tc>
        <w:tc>
          <w:tcPr>
            <w:tcW w:w="5052" w:type="dxa"/>
          </w:tcPr>
          <w:p w14:paraId="03E87587" w14:textId="5CA46588" w:rsidR="008C01F1" w:rsidRPr="00CD441C" w:rsidRDefault="00E76AFA" w:rsidP="00C84824">
            <w:pPr>
              <w:rPr>
                <w:rStyle w:val="SubtleEmphasis"/>
              </w:rPr>
            </w:pPr>
            <w:r>
              <w:rPr>
                <w:rStyle w:val="SubtleEmphasis"/>
              </w:rPr>
              <w:t xml:space="preserve">Minor updates, </w:t>
            </w:r>
            <w:r w:rsidR="00C84824">
              <w:rPr>
                <w:rStyle w:val="SubtleEmphasis"/>
              </w:rPr>
              <w:t xml:space="preserve">change to self-certification extension length, </w:t>
            </w:r>
            <w:r>
              <w:rPr>
                <w:rStyle w:val="SubtleEmphasis"/>
              </w:rPr>
              <w:t>reference to Parental Supp</w:t>
            </w:r>
            <w:r w:rsidR="00935809">
              <w:rPr>
                <w:rStyle w:val="SubtleEmphasis"/>
              </w:rPr>
              <w:t>ort Policy, clarification on (i</w:t>
            </w:r>
            <w:r>
              <w:rPr>
                <w:rStyle w:val="SubtleEmphasis"/>
              </w:rPr>
              <w:t>n)admissible evidence</w:t>
            </w:r>
          </w:p>
        </w:tc>
      </w:tr>
      <w:tr w:rsidR="00787A8D" w14:paraId="15088813" w14:textId="77777777" w:rsidTr="00CA2FB5">
        <w:tc>
          <w:tcPr>
            <w:tcW w:w="1838" w:type="dxa"/>
          </w:tcPr>
          <w:p w14:paraId="4FA952FF" w14:textId="0358F881" w:rsidR="00787A8D" w:rsidRDefault="00787A8D" w:rsidP="0041561E">
            <w:pPr>
              <w:rPr>
                <w:rStyle w:val="SubtleEmphasis"/>
              </w:rPr>
            </w:pPr>
            <w:r>
              <w:rPr>
                <w:rStyle w:val="SubtleEmphasis"/>
              </w:rPr>
              <w:t>7</w:t>
            </w:r>
          </w:p>
        </w:tc>
        <w:tc>
          <w:tcPr>
            <w:tcW w:w="2126" w:type="dxa"/>
          </w:tcPr>
          <w:p w14:paraId="2DE1DDA0" w14:textId="7CD23AE9" w:rsidR="00787A8D" w:rsidRDefault="00787A8D" w:rsidP="00E76AFA">
            <w:pPr>
              <w:rPr>
                <w:rStyle w:val="SubtleEmphasis"/>
              </w:rPr>
            </w:pPr>
            <w:r>
              <w:rPr>
                <w:rStyle w:val="SubtleEmphasis"/>
              </w:rPr>
              <w:t>02 Jul 2025</w:t>
            </w:r>
          </w:p>
        </w:tc>
        <w:tc>
          <w:tcPr>
            <w:tcW w:w="5052" w:type="dxa"/>
          </w:tcPr>
          <w:p w14:paraId="26BB439D" w14:textId="63E6078D" w:rsidR="00787A8D" w:rsidRDefault="00787A8D" w:rsidP="00C84824">
            <w:pPr>
              <w:rPr>
                <w:rStyle w:val="SubtleEmphasis"/>
              </w:rPr>
            </w:pPr>
            <w:r>
              <w:rPr>
                <w:rStyle w:val="SubtleEmphasis"/>
              </w:rPr>
              <w:t>Major updates</w:t>
            </w:r>
            <w:r w:rsidR="00C94B00">
              <w:rPr>
                <w:rStyle w:val="SubtleEmphasis"/>
              </w:rPr>
              <w:t>:</w:t>
            </w:r>
          </w:p>
          <w:p w14:paraId="118AD2DA" w14:textId="77777777" w:rsidR="00787A8D" w:rsidRDefault="00787A8D" w:rsidP="00C84824">
            <w:pPr>
              <w:rPr>
                <w:rStyle w:val="SubtleEmphasis"/>
              </w:rPr>
            </w:pPr>
            <w:r>
              <w:rPr>
                <w:rStyle w:val="SubtleEmphasis"/>
              </w:rPr>
              <w:t>Introduction of late submission</w:t>
            </w:r>
            <w:r w:rsidR="00692394">
              <w:rPr>
                <w:rStyle w:val="SubtleEmphasis"/>
              </w:rPr>
              <w:t xml:space="preserve"> and permits</w:t>
            </w:r>
          </w:p>
          <w:p w14:paraId="14940854" w14:textId="77777777" w:rsidR="00692394" w:rsidRDefault="00692394" w:rsidP="00C84824">
            <w:pPr>
              <w:rPr>
                <w:rStyle w:val="SubtleEmphasis"/>
              </w:rPr>
            </w:pPr>
            <w:r>
              <w:rPr>
                <w:rStyle w:val="SubtleEmphasis"/>
              </w:rPr>
              <w:lastRenderedPageBreak/>
              <w:t>Removal of requirement for third party evidence</w:t>
            </w:r>
          </w:p>
          <w:p w14:paraId="4D00068F" w14:textId="286CA584" w:rsidR="00692394" w:rsidRDefault="000F5B0A" w:rsidP="00C84824">
            <w:pPr>
              <w:rPr>
                <w:rStyle w:val="SubtleEmphasis"/>
              </w:rPr>
            </w:pPr>
            <w:r>
              <w:rPr>
                <w:rStyle w:val="SubtleEmphasis"/>
              </w:rPr>
              <w:t>Enhanced i</w:t>
            </w:r>
            <w:r w:rsidR="00692394">
              <w:rPr>
                <w:rStyle w:val="SubtleEmphasis"/>
              </w:rPr>
              <w:t xml:space="preserve">ntegration with student support </w:t>
            </w:r>
            <w:r w:rsidR="00C94B00">
              <w:rPr>
                <w:rStyle w:val="SubtleEmphasis"/>
              </w:rPr>
              <w:t>polic</w:t>
            </w:r>
            <w:r>
              <w:rPr>
                <w:rStyle w:val="SubtleEmphasis"/>
              </w:rPr>
              <w:t>ies</w:t>
            </w:r>
            <w:r w:rsidR="00C94B00">
              <w:rPr>
                <w:rStyle w:val="SubtleEmphasis"/>
              </w:rPr>
              <w:t xml:space="preserve"> and procedures</w:t>
            </w:r>
          </w:p>
        </w:tc>
      </w:tr>
    </w:tbl>
    <w:p w14:paraId="44820CBB" w14:textId="77777777" w:rsidR="008C01F1" w:rsidRDefault="008C01F1"/>
    <w:p w14:paraId="64348610" w14:textId="64C576D0" w:rsidR="00E76AFA" w:rsidRPr="00E76AFA" w:rsidRDefault="00E76AFA" w:rsidP="00E76AFA">
      <w:pPr>
        <w:pStyle w:val="Title"/>
      </w:pPr>
      <w:r>
        <w:t xml:space="preserve">Mitigating Circumstances </w:t>
      </w:r>
      <w:r w:rsidR="00451CBC">
        <w:t xml:space="preserve">Policy and </w:t>
      </w:r>
      <w:r>
        <w:t>Procedure</w:t>
      </w:r>
      <w:bookmarkStart w:id="3" w:name="Mitigating_Circumstances_Procedure_Intro"/>
      <w:bookmarkEnd w:id="3"/>
    </w:p>
    <w:p w14:paraId="10284C76" w14:textId="77777777" w:rsidR="007F1AAA" w:rsidRPr="007F1AAA" w:rsidRDefault="007F1AAA" w:rsidP="00B94B95">
      <w:pPr>
        <w:pStyle w:val="Heading1"/>
        <w:rPr>
          <w:rFonts w:eastAsia="Aptos" w:cs="Times New Roman"/>
        </w:rPr>
      </w:pPr>
      <w:r w:rsidRPr="007F1AAA">
        <w:rPr>
          <w:rFonts w:eastAsia="Arial"/>
        </w:rPr>
        <w:t>Introduction</w:t>
      </w:r>
    </w:p>
    <w:p w14:paraId="7509FFB0" w14:textId="77777777" w:rsidR="007F1AAA" w:rsidRPr="00B94B95" w:rsidRDefault="007F1AAA" w:rsidP="00B94B95">
      <w:pPr>
        <w:pStyle w:val="Heading2"/>
        <w:rPr>
          <w:rFonts w:eastAsia="Arial"/>
          <w:color w:val="000000" w:themeColor="text1"/>
        </w:rPr>
      </w:pPr>
      <w:r w:rsidRPr="00B94B95">
        <w:rPr>
          <w:rFonts w:eastAsia="Arial"/>
          <w:color w:val="000000" w:themeColor="text1"/>
        </w:rPr>
        <w:t>The University understands that students can face a range of challenging circumstances which may impact their university studies and provides a breadth of support for students encountering short or longer-term challenges.</w:t>
      </w:r>
    </w:p>
    <w:p w14:paraId="580FAA00" w14:textId="77777777" w:rsidR="007F1AAA" w:rsidRPr="00B94B95" w:rsidRDefault="007F1AAA" w:rsidP="00B94B95">
      <w:pPr>
        <w:pStyle w:val="Heading2"/>
        <w:rPr>
          <w:rFonts w:eastAsia="Arial"/>
          <w:color w:val="000000" w:themeColor="text1"/>
        </w:rPr>
      </w:pPr>
      <w:r w:rsidRPr="00B94B95">
        <w:rPr>
          <w:rFonts w:eastAsia="Arial"/>
          <w:color w:val="000000" w:themeColor="text1"/>
        </w:rPr>
        <w:t>The University works to the principle that students are most likely to achieve their academic potential when supported to engage with assessment at the first opportunity, in accordance with the assessment schedule designed for that programme of study.</w:t>
      </w:r>
    </w:p>
    <w:p w14:paraId="6121812F" w14:textId="77777777" w:rsidR="007F1AAA" w:rsidRPr="00B94B95" w:rsidRDefault="007F1AAA" w:rsidP="00B94B95">
      <w:pPr>
        <w:pStyle w:val="Heading2"/>
        <w:rPr>
          <w:rFonts w:eastAsia="Arial"/>
          <w:color w:val="000000" w:themeColor="text1"/>
        </w:rPr>
      </w:pPr>
      <w:r w:rsidRPr="00B94B95">
        <w:rPr>
          <w:rFonts w:eastAsia="Arial"/>
          <w:color w:val="000000" w:themeColor="text1"/>
        </w:rPr>
        <w:t>In the event that personal difficulties arise, students are encouraged to contact their Personal Academic Tutor/Year Tutor as soon as possible, in order that support can be promptly put in place to ensure they can continue to engage with their studies and submit assessments on time.</w:t>
      </w:r>
    </w:p>
    <w:p w14:paraId="23A4C17E" w14:textId="77777777" w:rsidR="007F1AAA" w:rsidRPr="00B94B95" w:rsidRDefault="007F1AAA" w:rsidP="00B94B95">
      <w:pPr>
        <w:pStyle w:val="Heading2"/>
        <w:rPr>
          <w:rFonts w:eastAsia="Arial"/>
          <w:color w:val="000000" w:themeColor="text1"/>
        </w:rPr>
      </w:pPr>
      <w:r w:rsidRPr="00B94B95">
        <w:rPr>
          <w:rFonts w:eastAsia="Arial"/>
          <w:color w:val="000000" w:themeColor="text1"/>
        </w:rPr>
        <w:t>Students with a disability or chronic illness should contact the University’s Student Wellbeing Team to discuss any appropriate reasonable adjustments which may be made to their learning and assessments.</w:t>
      </w:r>
    </w:p>
    <w:p w14:paraId="465A7255" w14:textId="77777777" w:rsidR="007F1AAA" w:rsidRPr="00B94B95" w:rsidRDefault="007F1AAA" w:rsidP="00B94B95">
      <w:pPr>
        <w:pStyle w:val="Heading2"/>
        <w:rPr>
          <w:rFonts w:eastAsia="Arial"/>
          <w:color w:val="000000" w:themeColor="text1"/>
        </w:rPr>
      </w:pPr>
      <w:r w:rsidRPr="00B94B95">
        <w:rPr>
          <w:rFonts w:eastAsia="Arial"/>
          <w:color w:val="000000" w:themeColor="text1"/>
        </w:rPr>
        <w:t>Mitigating Circumstances, often called Exceptional Personal Circumstances or requests for Additional Consideration, are significant changes in a student’s circumstances during their studies, which are outside the control of the student and which they believe have adversely affected their ability to engage with one or more assessment.</w:t>
      </w:r>
    </w:p>
    <w:p w14:paraId="16E0FD93" w14:textId="3177F083" w:rsidR="007F1AAA" w:rsidRPr="007F1AAA" w:rsidRDefault="007F1AAA" w:rsidP="00B94B95">
      <w:pPr>
        <w:pStyle w:val="Heading2"/>
        <w:numPr>
          <w:ilvl w:val="0"/>
          <w:numId w:val="0"/>
        </w:numPr>
        <w:ind w:left="578"/>
        <w:rPr>
          <w:rFonts w:eastAsia="Aptos" w:cs="Times New Roman"/>
        </w:rPr>
      </w:pPr>
    </w:p>
    <w:p w14:paraId="506CC0F3" w14:textId="77777777" w:rsidR="007F1AAA" w:rsidRPr="007F1AAA" w:rsidRDefault="007F1AAA" w:rsidP="00B94B95">
      <w:pPr>
        <w:pStyle w:val="Heading1"/>
        <w:rPr>
          <w:rFonts w:eastAsia="Aptos" w:cs="Times New Roman"/>
        </w:rPr>
      </w:pPr>
      <w:r w:rsidRPr="007F1AAA">
        <w:rPr>
          <w:rFonts w:eastAsia="Arial"/>
        </w:rPr>
        <w:t>Provision for Late Submission</w:t>
      </w:r>
    </w:p>
    <w:p w14:paraId="7CB5D31C" w14:textId="174FD20D" w:rsidR="007F1AAA" w:rsidRPr="00B94B95" w:rsidRDefault="007F1AAA" w:rsidP="00B94B95">
      <w:pPr>
        <w:pStyle w:val="Heading2"/>
        <w:rPr>
          <w:rFonts w:eastAsia="Arial"/>
          <w:color w:val="000000" w:themeColor="text1"/>
        </w:rPr>
      </w:pPr>
      <w:r w:rsidRPr="00B94B95">
        <w:rPr>
          <w:rFonts w:eastAsia="Arial"/>
          <w:color w:val="000000" w:themeColor="text1"/>
        </w:rPr>
        <w:t>The University recognises that student life can be difficult to manage, and sometimes students might need some flexibility to manage their studies and wellbeing. Minor or short-term challenges which may affect students’ ability to submit on time could include:</w:t>
      </w:r>
    </w:p>
    <w:p w14:paraId="6670C5BE" w14:textId="77777777" w:rsidR="007F1AAA" w:rsidRPr="007F1AAA" w:rsidRDefault="007F1AAA" w:rsidP="007F1AAA">
      <w:pPr>
        <w:numPr>
          <w:ilvl w:val="0"/>
          <w:numId w:val="15"/>
        </w:numPr>
        <w:spacing w:after="0" w:line="257" w:lineRule="auto"/>
        <w:ind w:left="1440"/>
        <w:contextualSpacing/>
        <w:jc w:val="both"/>
        <w:rPr>
          <w:rFonts w:ascii="Arial" w:eastAsia="Arial" w:hAnsi="Arial" w:cs="Arial"/>
          <w:color w:val="000000"/>
          <w:sz w:val="24"/>
        </w:rPr>
      </w:pPr>
      <w:r w:rsidRPr="007F1AAA">
        <w:rPr>
          <w:rFonts w:ascii="Arial" w:eastAsia="Arial" w:hAnsi="Arial" w:cs="Arial"/>
          <w:color w:val="000000"/>
          <w:sz w:val="24"/>
        </w:rPr>
        <w:t>minor illness;</w:t>
      </w:r>
    </w:p>
    <w:p w14:paraId="0F5EEB82" w14:textId="77777777" w:rsidR="007F1AAA" w:rsidRPr="007F1AAA" w:rsidRDefault="007F1AAA" w:rsidP="007F1AAA">
      <w:pPr>
        <w:numPr>
          <w:ilvl w:val="0"/>
          <w:numId w:val="15"/>
        </w:numPr>
        <w:spacing w:after="0" w:line="257" w:lineRule="auto"/>
        <w:ind w:left="1440"/>
        <w:contextualSpacing/>
        <w:jc w:val="both"/>
        <w:rPr>
          <w:rFonts w:ascii="Arial" w:eastAsia="Arial" w:hAnsi="Arial" w:cs="Arial"/>
          <w:color w:val="000000"/>
          <w:sz w:val="24"/>
        </w:rPr>
      </w:pPr>
      <w:r w:rsidRPr="007F1AAA">
        <w:rPr>
          <w:rFonts w:ascii="Arial" w:eastAsia="Arial" w:hAnsi="Arial" w:cs="Arial"/>
          <w:color w:val="000000"/>
          <w:sz w:val="24"/>
        </w:rPr>
        <w:t>other commitments (e.g. work or caring responsibilities);</w:t>
      </w:r>
    </w:p>
    <w:p w14:paraId="477D99C4" w14:textId="77777777" w:rsidR="007F1AAA" w:rsidRPr="007F1AAA" w:rsidRDefault="007F1AAA" w:rsidP="007F1AAA">
      <w:pPr>
        <w:numPr>
          <w:ilvl w:val="0"/>
          <w:numId w:val="15"/>
        </w:numPr>
        <w:spacing w:after="0" w:line="257" w:lineRule="auto"/>
        <w:ind w:left="1440"/>
        <w:contextualSpacing/>
        <w:jc w:val="both"/>
        <w:rPr>
          <w:rFonts w:ascii="Arial" w:eastAsia="Arial" w:hAnsi="Arial" w:cs="Arial"/>
          <w:color w:val="000000"/>
          <w:sz w:val="24"/>
        </w:rPr>
      </w:pPr>
      <w:r w:rsidRPr="007F1AAA">
        <w:rPr>
          <w:rFonts w:ascii="Arial" w:eastAsia="Arial" w:hAnsi="Arial" w:cs="Arial"/>
          <w:color w:val="000000"/>
          <w:sz w:val="24"/>
        </w:rPr>
        <w:t>technical difficulties encountered during submission.</w:t>
      </w:r>
    </w:p>
    <w:p w14:paraId="3880CF3E" w14:textId="77777777" w:rsidR="007F1AAA" w:rsidRPr="007F1AAA" w:rsidRDefault="007F1AAA" w:rsidP="007F1AAA">
      <w:pPr>
        <w:spacing w:after="0" w:line="257" w:lineRule="auto"/>
        <w:ind w:left="1440"/>
        <w:contextualSpacing/>
        <w:jc w:val="both"/>
        <w:rPr>
          <w:rFonts w:ascii="Arial" w:eastAsia="Arial" w:hAnsi="Arial" w:cs="Arial"/>
          <w:color w:val="000000"/>
          <w:sz w:val="24"/>
        </w:rPr>
      </w:pPr>
    </w:p>
    <w:p w14:paraId="409B4B99" w14:textId="36EFA68E" w:rsidR="007F1AAA" w:rsidRPr="00B94B95" w:rsidRDefault="007F1AAA" w:rsidP="00B94B95">
      <w:pPr>
        <w:pStyle w:val="Heading2"/>
        <w:rPr>
          <w:rFonts w:eastAsia="Arial" w:cs="Arial"/>
          <w:color w:val="000000" w:themeColor="text1"/>
        </w:rPr>
      </w:pPr>
      <w:r w:rsidRPr="00B94B95">
        <w:rPr>
          <w:rFonts w:eastAsia="Arial" w:cs="Arial"/>
          <w:color w:val="000000" w:themeColor="text1"/>
        </w:rPr>
        <w:t xml:space="preserve">According to the University </w:t>
      </w:r>
      <w:hyperlink r:id="rId9">
        <w:r w:rsidRPr="007F1AAA">
          <w:rPr>
            <w:rFonts w:eastAsia="Arial" w:cs="Arial"/>
            <w:color w:val="0563C1"/>
            <w:u w:val="single"/>
          </w:rPr>
          <w:t>Assessment Regulations</w:t>
        </w:r>
      </w:hyperlink>
      <w:r w:rsidRPr="007F1AAA">
        <w:rPr>
          <w:rFonts w:eastAsia="Arial" w:cs="Arial"/>
        </w:rPr>
        <w:t xml:space="preserve">, </w:t>
      </w:r>
      <w:r w:rsidRPr="00B94B95">
        <w:rPr>
          <w:rFonts w:eastAsia="Arial" w:cs="Arial"/>
          <w:color w:val="000000" w:themeColor="text1"/>
        </w:rPr>
        <w:t xml:space="preserve">all students may submit eligible assessments up to five working days after the assessment deadline. </w:t>
      </w:r>
      <w:r w:rsidRPr="00B94B95">
        <w:rPr>
          <w:rFonts w:eastAsia="Arial" w:cs="Arial"/>
          <w:color w:val="000000" w:themeColor="text1"/>
        </w:rPr>
        <w:lastRenderedPageBreak/>
        <w:t>Such late submissions will be marked as usual but will be awarded a maximum of the threshold pass mark.</w:t>
      </w:r>
    </w:p>
    <w:p w14:paraId="20B010C3" w14:textId="77777777" w:rsidR="007F1AAA" w:rsidRPr="007F1AAA" w:rsidRDefault="007F1AAA" w:rsidP="007F1AAA">
      <w:pPr>
        <w:spacing w:after="0" w:line="257" w:lineRule="auto"/>
        <w:ind w:left="720"/>
        <w:contextualSpacing/>
        <w:jc w:val="both"/>
        <w:rPr>
          <w:rFonts w:ascii="Arial" w:eastAsia="Arial" w:hAnsi="Arial" w:cs="Arial"/>
          <w:color w:val="000000"/>
          <w:sz w:val="24"/>
        </w:rPr>
      </w:pPr>
    </w:p>
    <w:p w14:paraId="1D7FDD10" w14:textId="02FD5FBA" w:rsidR="007F1AAA" w:rsidRPr="00B94B95" w:rsidRDefault="7BBA4727" w:rsidP="00B94B95">
      <w:pPr>
        <w:pStyle w:val="Heading2"/>
        <w:rPr>
          <w:rFonts w:eastAsia="Arial"/>
          <w:color w:val="000000" w:themeColor="text1"/>
        </w:rPr>
      </w:pPr>
      <w:r w:rsidRPr="54322A39">
        <w:rPr>
          <w:rFonts w:eastAsia="Arial"/>
          <w:color w:val="000000" w:themeColor="text1"/>
        </w:rPr>
        <w:t>Up to four times per academic level, students may submit within the late submission window (i.e. up to five working days after the deadline) with no penalty. For these submissions</w:t>
      </w:r>
      <w:r w:rsidR="11C9B50F" w:rsidRPr="54322A39">
        <w:rPr>
          <w:rFonts w:eastAsia="Arial"/>
          <w:color w:val="000000" w:themeColor="text1"/>
        </w:rPr>
        <w:t>,</w:t>
      </w:r>
      <w:r w:rsidRPr="54322A39">
        <w:rPr>
          <w:rFonts w:eastAsia="Arial"/>
          <w:color w:val="000000" w:themeColor="text1"/>
        </w:rPr>
        <w:t xml:space="preserve"> the work will be marked as if received on time.</w:t>
      </w:r>
    </w:p>
    <w:p w14:paraId="20C8F7B2" w14:textId="77777777" w:rsidR="007F1AAA" w:rsidRPr="00B94B95" w:rsidRDefault="007F1AAA" w:rsidP="00B94B95">
      <w:pPr>
        <w:pStyle w:val="Heading2"/>
        <w:rPr>
          <w:rFonts w:eastAsia="Arial"/>
          <w:color w:val="000000" w:themeColor="text1"/>
        </w:rPr>
      </w:pPr>
      <w:r w:rsidRPr="00B94B95">
        <w:rPr>
          <w:rFonts w:eastAsia="Arial"/>
          <w:color w:val="000000" w:themeColor="text1"/>
        </w:rPr>
        <w:t>A self-declaration including a reason for late submission must be completed by the student at the time of assessment submission, i.e. no later than five working days after the assessment deadline. Students will not be required to provide third-party evidence and confirmation of the late permit use will be provided to the student immediately.</w:t>
      </w:r>
    </w:p>
    <w:p w14:paraId="35914814" w14:textId="77777777" w:rsidR="007F1AAA" w:rsidRDefault="007F1AAA" w:rsidP="00B94B95">
      <w:pPr>
        <w:pStyle w:val="Heading2"/>
        <w:rPr>
          <w:rFonts w:eastAsia="Arial"/>
          <w:color w:val="000000" w:themeColor="text1"/>
        </w:rPr>
      </w:pPr>
      <w:r w:rsidRPr="00B94B95">
        <w:rPr>
          <w:rFonts w:eastAsia="Arial"/>
          <w:color w:val="000000" w:themeColor="text1"/>
        </w:rPr>
        <w:t>After using a late permit, students are encouraged to consider what support may benefit them for future assessment deadlines, such as help with study skills or managing workload.</w:t>
      </w:r>
    </w:p>
    <w:p w14:paraId="3D37F0C1" w14:textId="4CF414C1" w:rsidR="00893753" w:rsidRPr="00B644AD" w:rsidRDefault="53CC9A41" w:rsidP="54322A39">
      <w:pPr>
        <w:pStyle w:val="Heading2"/>
        <w:rPr>
          <w:rFonts w:eastAsia="Arial"/>
          <w:color w:val="000000" w:themeColor="text1"/>
        </w:rPr>
      </w:pPr>
      <w:r w:rsidRPr="54322A39">
        <w:rPr>
          <w:rFonts w:eastAsia="Arial"/>
          <w:color w:val="000000" w:themeColor="text1"/>
        </w:rPr>
        <w:t xml:space="preserve">The </w:t>
      </w:r>
      <w:r w:rsidR="72081896" w:rsidRPr="54322A39">
        <w:rPr>
          <w:rFonts w:eastAsia="Arial"/>
          <w:color w:val="000000" w:themeColor="text1"/>
        </w:rPr>
        <w:t xml:space="preserve">five working day late submission window will only apply to the original </w:t>
      </w:r>
      <w:r w:rsidR="66AF9095" w:rsidRPr="54322A39">
        <w:rPr>
          <w:rFonts w:eastAsia="Arial"/>
          <w:color w:val="000000" w:themeColor="text1"/>
        </w:rPr>
        <w:t xml:space="preserve">assessment deadline, as listed on the Assessment Brief, i.e. it will </w:t>
      </w:r>
      <w:r w:rsidR="72081896" w:rsidRPr="54322A39">
        <w:rPr>
          <w:rFonts w:eastAsia="Arial"/>
          <w:color w:val="000000" w:themeColor="text1"/>
        </w:rPr>
        <w:t>not apply to reassessment</w:t>
      </w:r>
      <w:r w:rsidR="66AF9095" w:rsidRPr="54322A39">
        <w:rPr>
          <w:rFonts w:eastAsia="Arial"/>
          <w:color w:val="000000" w:themeColor="text1"/>
        </w:rPr>
        <w:t>. Subsequent reassessment will have a</w:t>
      </w:r>
      <w:r w:rsidR="1E653FCC" w:rsidRPr="54322A39">
        <w:rPr>
          <w:rFonts w:eastAsia="Arial"/>
          <w:color w:val="000000" w:themeColor="text1"/>
        </w:rPr>
        <w:t xml:space="preserve"> standard </w:t>
      </w:r>
      <w:r w:rsidR="1770608F" w:rsidRPr="54322A39">
        <w:rPr>
          <w:rFonts w:eastAsia="Arial"/>
          <w:color w:val="000000" w:themeColor="text1"/>
        </w:rPr>
        <w:t>twenty-four</w:t>
      </w:r>
      <w:r w:rsidR="777F5DD7" w:rsidRPr="54322A39">
        <w:rPr>
          <w:rFonts w:eastAsia="Arial"/>
          <w:color w:val="000000" w:themeColor="text1"/>
        </w:rPr>
        <w:t xml:space="preserve"> </w:t>
      </w:r>
      <w:r w:rsidR="1770608F" w:rsidRPr="54322A39">
        <w:rPr>
          <w:rFonts w:eastAsia="Arial"/>
          <w:color w:val="000000" w:themeColor="text1"/>
        </w:rPr>
        <w:t>hour</w:t>
      </w:r>
      <w:r w:rsidR="1E653FCC" w:rsidRPr="54322A39">
        <w:rPr>
          <w:rFonts w:eastAsia="Arial"/>
          <w:color w:val="000000" w:themeColor="text1"/>
        </w:rPr>
        <w:t xml:space="preserve"> late submission window, to </w:t>
      </w:r>
      <w:r w:rsidR="5FC28CC4" w:rsidRPr="54322A39">
        <w:rPr>
          <w:rFonts w:eastAsia="Arial"/>
          <w:color w:val="000000" w:themeColor="text1"/>
        </w:rPr>
        <w:t xml:space="preserve">allow </w:t>
      </w:r>
      <w:r w:rsidR="11E1AF39" w:rsidRPr="54322A39">
        <w:rPr>
          <w:rFonts w:eastAsia="Arial"/>
          <w:color w:val="000000" w:themeColor="text1"/>
        </w:rPr>
        <w:t>some flexibility for</w:t>
      </w:r>
      <w:r w:rsidR="1E653FCC" w:rsidRPr="54322A39">
        <w:rPr>
          <w:rFonts w:eastAsia="Arial"/>
          <w:color w:val="000000" w:themeColor="text1"/>
        </w:rPr>
        <w:t xml:space="preserve"> </w:t>
      </w:r>
      <w:r w:rsidR="11E1AF39" w:rsidRPr="54322A39">
        <w:rPr>
          <w:rFonts w:eastAsia="Arial"/>
          <w:color w:val="000000" w:themeColor="text1"/>
        </w:rPr>
        <w:t>last minute</w:t>
      </w:r>
      <w:r w:rsidR="1E653FCC" w:rsidRPr="54322A39">
        <w:rPr>
          <w:rFonts w:eastAsia="Arial"/>
          <w:color w:val="000000" w:themeColor="text1"/>
        </w:rPr>
        <w:t xml:space="preserve"> </w:t>
      </w:r>
      <w:r w:rsidR="11E1AF39" w:rsidRPr="54322A39">
        <w:rPr>
          <w:rFonts w:eastAsia="Arial"/>
          <w:color w:val="000000" w:themeColor="text1"/>
        </w:rPr>
        <w:t xml:space="preserve">unexpected </w:t>
      </w:r>
      <w:r w:rsidR="1770608F" w:rsidRPr="54322A39">
        <w:rPr>
          <w:rFonts w:eastAsia="Arial"/>
          <w:color w:val="000000" w:themeColor="text1"/>
        </w:rPr>
        <w:t xml:space="preserve">circumstances </w:t>
      </w:r>
      <w:r w:rsidR="11E1AF39" w:rsidRPr="54322A39">
        <w:rPr>
          <w:rFonts w:eastAsia="Arial"/>
          <w:color w:val="000000" w:themeColor="text1"/>
        </w:rPr>
        <w:t>or</w:t>
      </w:r>
      <w:r w:rsidR="1E653FCC" w:rsidRPr="54322A39">
        <w:rPr>
          <w:rFonts w:eastAsia="Arial"/>
          <w:color w:val="000000" w:themeColor="text1"/>
        </w:rPr>
        <w:t xml:space="preserve"> </w:t>
      </w:r>
      <w:r w:rsidR="1770608F" w:rsidRPr="54322A39">
        <w:rPr>
          <w:rFonts w:eastAsia="Arial"/>
          <w:color w:val="000000" w:themeColor="text1"/>
        </w:rPr>
        <w:t xml:space="preserve">any </w:t>
      </w:r>
      <w:r w:rsidR="1E653FCC" w:rsidRPr="54322A39">
        <w:rPr>
          <w:rFonts w:eastAsia="Arial"/>
          <w:color w:val="000000" w:themeColor="text1"/>
        </w:rPr>
        <w:t>submission</w:t>
      </w:r>
      <w:r w:rsidR="1770608F" w:rsidRPr="54322A39">
        <w:rPr>
          <w:rFonts w:eastAsia="Arial"/>
          <w:color w:val="000000" w:themeColor="text1"/>
        </w:rPr>
        <w:t xml:space="preserve"> difficulties.</w:t>
      </w:r>
    </w:p>
    <w:p w14:paraId="2186FE1C" w14:textId="77777777" w:rsidR="007F1AAA" w:rsidRPr="007F1AAA" w:rsidRDefault="007F1AAA" w:rsidP="007F1AAA">
      <w:pPr>
        <w:spacing w:line="257" w:lineRule="auto"/>
        <w:jc w:val="both"/>
        <w:rPr>
          <w:rFonts w:ascii="Arial" w:eastAsia="Aptos" w:hAnsi="Arial" w:cs="Times New Roman"/>
          <w:color w:val="000000"/>
          <w:sz w:val="24"/>
        </w:rPr>
      </w:pPr>
      <w:r w:rsidRPr="007F1AAA">
        <w:rPr>
          <w:rFonts w:ascii="Arial" w:eastAsia="Arial" w:hAnsi="Arial" w:cs="Arial"/>
          <w:color w:val="000000"/>
          <w:sz w:val="24"/>
        </w:rPr>
        <w:t xml:space="preserve"> </w:t>
      </w:r>
    </w:p>
    <w:p w14:paraId="52CF3FA7" w14:textId="77777777" w:rsidR="007F1AAA" w:rsidRPr="007F1AAA" w:rsidRDefault="007F1AAA" w:rsidP="00B94B95">
      <w:pPr>
        <w:pStyle w:val="Heading1"/>
        <w:rPr>
          <w:rFonts w:eastAsia="Aptos" w:cs="Times New Roman"/>
        </w:rPr>
      </w:pPr>
      <w:r w:rsidRPr="007F1AAA">
        <w:rPr>
          <w:rFonts w:eastAsia="Arial"/>
        </w:rPr>
        <w:t>Limitations of Late Submission Permits</w:t>
      </w:r>
    </w:p>
    <w:p w14:paraId="73C9CE72" w14:textId="464C73C7" w:rsidR="007F1AAA" w:rsidRPr="00B94B95" w:rsidRDefault="007F1AAA" w:rsidP="00B94B95">
      <w:pPr>
        <w:pStyle w:val="Heading2"/>
        <w:rPr>
          <w:rFonts w:eastAsia="Arial"/>
          <w:color w:val="000000" w:themeColor="text1"/>
        </w:rPr>
      </w:pPr>
      <w:r w:rsidRPr="00B94B95">
        <w:rPr>
          <w:rFonts w:eastAsia="Arial"/>
          <w:color w:val="000000" w:themeColor="text1"/>
        </w:rPr>
        <w:t xml:space="preserve">Live or time-sensitive assessments (e.g. exam, in-class test, presentation or practical) are not eligible for the late submission window. The eligibility of assessments will be specified </w:t>
      </w:r>
      <w:r w:rsidR="007D2C1C">
        <w:rPr>
          <w:rFonts w:eastAsia="Arial"/>
          <w:color w:val="000000" w:themeColor="text1"/>
        </w:rPr>
        <w:t>on</w:t>
      </w:r>
      <w:r w:rsidRPr="00B94B95">
        <w:rPr>
          <w:rFonts w:eastAsia="Arial"/>
          <w:color w:val="000000" w:themeColor="text1"/>
        </w:rPr>
        <w:t xml:space="preserve"> the relevant Assessment </w:t>
      </w:r>
      <w:r w:rsidR="007D2C1C">
        <w:rPr>
          <w:rFonts w:eastAsia="Arial"/>
          <w:color w:val="000000" w:themeColor="text1"/>
        </w:rPr>
        <w:t>and Feedback page on Moodle</w:t>
      </w:r>
      <w:r w:rsidRPr="00B94B95">
        <w:rPr>
          <w:rFonts w:eastAsia="Arial"/>
          <w:color w:val="000000" w:themeColor="text1"/>
        </w:rPr>
        <w:t>.</w:t>
      </w:r>
    </w:p>
    <w:p w14:paraId="00BC6BFC" w14:textId="77777777" w:rsidR="007F1AAA" w:rsidRPr="00B94B95" w:rsidRDefault="007F1AAA" w:rsidP="00B94B95">
      <w:pPr>
        <w:pStyle w:val="Heading2"/>
        <w:rPr>
          <w:rFonts w:eastAsia="Arial"/>
          <w:color w:val="000000" w:themeColor="text1"/>
        </w:rPr>
      </w:pPr>
      <w:r w:rsidRPr="00B94B95">
        <w:rPr>
          <w:rFonts w:eastAsia="Arial"/>
          <w:color w:val="000000" w:themeColor="text1"/>
        </w:rPr>
        <w:t>Once submitted, a late permit cannot be withdrawn.</w:t>
      </w:r>
    </w:p>
    <w:p w14:paraId="7EB10DB4" w14:textId="77777777" w:rsidR="007F1AAA" w:rsidRPr="00B94B95" w:rsidRDefault="007F1AAA" w:rsidP="00B94B95">
      <w:pPr>
        <w:pStyle w:val="Heading2"/>
        <w:rPr>
          <w:rFonts w:eastAsia="Arial"/>
          <w:color w:val="000000" w:themeColor="text1"/>
        </w:rPr>
      </w:pPr>
      <w:r w:rsidRPr="00B94B95">
        <w:rPr>
          <w:rFonts w:eastAsia="Arial"/>
          <w:color w:val="000000" w:themeColor="text1"/>
        </w:rPr>
        <w:t>Each late permit is valid for one assessment point only.</w:t>
      </w:r>
    </w:p>
    <w:p w14:paraId="477822C8" w14:textId="77777777" w:rsidR="007F1AAA" w:rsidRPr="00B94B95" w:rsidRDefault="007F1AAA" w:rsidP="00B94B95">
      <w:pPr>
        <w:pStyle w:val="Heading2"/>
        <w:rPr>
          <w:rFonts w:eastAsia="Arial"/>
          <w:color w:val="000000" w:themeColor="text1"/>
        </w:rPr>
      </w:pPr>
      <w:r w:rsidRPr="00B94B95">
        <w:rPr>
          <w:rFonts w:eastAsia="Arial"/>
          <w:color w:val="000000" w:themeColor="text1"/>
        </w:rPr>
        <w:t>The late submission window is a fixed period of five working days immediately following the assessment deadline. As such, students can only use one late permit per assessment point (i.e. cannot extend deadline by ten working days by using two self-declarations consecutively).</w:t>
      </w:r>
    </w:p>
    <w:p w14:paraId="7EF3D093" w14:textId="3E67426D" w:rsidR="007F1AAA" w:rsidRPr="00B94B95" w:rsidRDefault="007F1AAA" w:rsidP="00B94B95">
      <w:pPr>
        <w:pStyle w:val="Heading2"/>
        <w:rPr>
          <w:rFonts w:eastAsia="Arial"/>
          <w:color w:val="000000" w:themeColor="text1"/>
        </w:rPr>
      </w:pPr>
      <w:r w:rsidRPr="00B94B95">
        <w:rPr>
          <w:rFonts w:eastAsia="Arial"/>
          <w:color w:val="000000" w:themeColor="text1"/>
        </w:rPr>
        <w:t xml:space="preserve">If all four late permits have been used, any further late submissions will be awarded a maximum of the threshold pass mark (40% for undergraduate, 50% for postgraduate), except as in </w:t>
      </w:r>
      <w:r w:rsidR="009446A8">
        <w:rPr>
          <w:rFonts w:eastAsia="Arial"/>
          <w:color w:val="000000" w:themeColor="text1"/>
        </w:rPr>
        <w:t>4.2</w:t>
      </w:r>
      <w:r w:rsidRPr="00B94B95">
        <w:rPr>
          <w:rFonts w:eastAsia="Arial"/>
          <w:color w:val="000000" w:themeColor="text1"/>
        </w:rPr>
        <w:t xml:space="preserve"> below.</w:t>
      </w:r>
    </w:p>
    <w:p w14:paraId="09307843" w14:textId="3BC438A4" w:rsidR="007F1AAA" w:rsidRDefault="007F1AAA" w:rsidP="00B94B95">
      <w:pPr>
        <w:pStyle w:val="Heading2"/>
        <w:rPr>
          <w:rFonts w:eastAsia="Arial"/>
          <w:color w:val="000000" w:themeColor="text1"/>
        </w:rPr>
      </w:pPr>
      <w:r w:rsidRPr="00B94B95">
        <w:rPr>
          <w:rFonts w:eastAsia="Arial"/>
          <w:color w:val="000000" w:themeColor="text1"/>
        </w:rPr>
        <w:t xml:space="preserve">At the start of each new </w:t>
      </w:r>
      <w:r w:rsidR="00880881">
        <w:rPr>
          <w:rFonts w:eastAsia="Arial"/>
          <w:color w:val="000000" w:themeColor="text1"/>
        </w:rPr>
        <w:t>level of study</w:t>
      </w:r>
      <w:r w:rsidRPr="00B94B95">
        <w:rPr>
          <w:rFonts w:eastAsia="Arial"/>
          <w:color w:val="000000" w:themeColor="text1"/>
        </w:rPr>
        <w:t xml:space="preserve">, allocation of late permits will be reset, i.e. unused late permits cannot be carried over to the next </w:t>
      </w:r>
      <w:r w:rsidR="000E3D45">
        <w:rPr>
          <w:rFonts w:eastAsia="Arial"/>
          <w:color w:val="000000" w:themeColor="text1"/>
        </w:rPr>
        <w:t>level</w:t>
      </w:r>
      <w:r w:rsidRPr="00B94B95">
        <w:rPr>
          <w:rFonts w:eastAsia="Arial"/>
          <w:color w:val="000000" w:themeColor="text1"/>
        </w:rPr>
        <w:t>.</w:t>
      </w:r>
    </w:p>
    <w:p w14:paraId="5FB12342" w14:textId="26596577" w:rsidR="00442A36" w:rsidRPr="00B644AD" w:rsidRDefault="1E8A5C90" w:rsidP="54322A39">
      <w:pPr>
        <w:pStyle w:val="Heading2"/>
        <w:rPr>
          <w:rFonts w:eastAsia="Arial"/>
          <w:color w:val="000000" w:themeColor="text1"/>
        </w:rPr>
      </w:pPr>
      <w:r w:rsidRPr="54322A39">
        <w:rPr>
          <w:rFonts w:eastAsia="Arial"/>
          <w:color w:val="000000" w:themeColor="text1"/>
        </w:rPr>
        <w:t xml:space="preserve">Late permits will not be available </w:t>
      </w:r>
      <w:r w:rsidR="5E1A4EFD" w:rsidRPr="54322A39">
        <w:rPr>
          <w:rFonts w:eastAsia="Arial"/>
          <w:color w:val="000000" w:themeColor="text1"/>
        </w:rPr>
        <w:t xml:space="preserve">or necessary </w:t>
      </w:r>
      <w:r w:rsidRPr="54322A39">
        <w:rPr>
          <w:rFonts w:eastAsia="Arial"/>
          <w:color w:val="000000" w:themeColor="text1"/>
        </w:rPr>
        <w:t xml:space="preserve">for reassessments, which </w:t>
      </w:r>
      <w:r w:rsidR="5E1A4EFD" w:rsidRPr="54322A39">
        <w:rPr>
          <w:rFonts w:eastAsia="Arial"/>
          <w:color w:val="000000" w:themeColor="text1"/>
        </w:rPr>
        <w:t xml:space="preserve">have </w:t>
      </w:r>
      <w:r w:rsidR="27859153" w:rsidRPr="54322A39">
        <w:rPr>
          <w:rFonts w:eastAsia="Arial"/>
          <w:color w:val="000000" w:themeColor="text1"/>
        </w:rPr>
        <w:t>a standard twenty</w:t>
      </w:r>
      <w:r w:rsidR="777F5DD7" w:rsidRPr="54322A39">
        <w:rPr>
          <w:rFonts w:eastAsia="Arial"/>
          <w:color w:val="000000" w:themeColor="text1"/>
        </w:rPr>
        <w:t>-</w:t>
      </w:r>
      <w:r w:rsidR="27859153" w:rsidRPr="54322A39">
        <w:rPr>
          <w:rFonts w:eastAsia="Arial"/>
          <w:color w:val="000000" w:themeColor="text1"/>
        </w:rPr>
        <w:t>four hour submission window.</w:t>
      </w:r>
      <w:r w:rsidR="53CC9A41" w:rsidRPr="54322A39">
        <w:rPr>
          <w:rFonts w:eastAsia="Arial"/>
          <w:color w:val="000000" w:themeColor="text1"/>
        </w:rPr>
        <w:t xml:space="preserve"> </w:t>
      </w:r>
    </w:p>
    <w:p w14:paraId="5A2024BA" w14:textId="6B0728C3" w:rsidR="007F1AAA" w:rsidRPr="007F1AAA" w:rsidRDefault="007F1AAA" w:rsidP="00B94B95">
      <w:pPr>
        <w:pStyle w:val="Heading1"/>
        <w:rPr>
          <w:rFonts w:eastAsia="Aptos" w:cs="Times New Roman"/>
        </w:rPr>
      </w:pPr>
      <w:r w:rsidRPr="007F1AAA">
        <w:rPr>
          <w:rFonts w:eastAsia="Arial"/>
        </w:rPr>
        <w:lastRenderedPageBreak/>
        <w:t xml:space="preserve">Further support: </w:t>
      </w:r>
      <w:r w:rsidR="00B94B95">
        <w:rPr>
          <w:rFonts w:eastAsia="Arial"/>
        </w:rPr>
        <w:t>L</w:t>
      </w:r>
      <w:r w:rsidRPr="007F1AAA">
        <w:rPr>
          <w:rFonts w:eastAsia="Arial"/>
        </w:rPr>
        <w:t xml:space="preserve">ate </w:t>
      </w:r>
      <w:r w:rsidR="00B94B95">
        <w:rPr>
          <w:rFonts w:eastAsia="Arial"/>
        </w:rPr>
        <w:t>S</w:t>
      </w:r>
      <w:r w:rsidRPr="007F1AAA">
        <w:rPr>
          <w:rFonts w:eastAsia="Arial"/>
        </w:rPr>
        <w:t>ubmissions</w:t>
      </w:r>
    </w:p>
    <w:p w14:paraId="1E2DD115" w14:textId="77777777" w:rsidR="007F1AAA" w:rsidRPr="00B94B95" w:rsidRDefault="007F1AAA" w:rsidP="00B94B95">
      <w:pPr>
        <w:pStyle w:val="Heading2"/>
        <w:rPr>
          <w:rFonts w:eastAsia="Arial"/>
          <w:color w:val="000000" w:themeColor="text1"/>
        </w:rPr>
      </w:pPr>
      <w:r w:rsidRPr="00B94B95">
        <w:rPr>
          <w:rFonts w:eastAsia="Arial"/>
          <w:color w:val="000000" w:themeColor="text1"/>
        </w:rPr>
        <w:t>The number of permits used by a student will be monitored to ensure that students are signposted to additional support as required, at the earliest available opportunity.</w:t>
      </w:r>
    </w:p>
    <w:p w14:paraId="42429DF5" w14:textId="77777777" w:rsidR="007F1AAA" w:rsidRPr="00B94B95" w:rsidRDefault="007F1AAA" w:rsidP="00B94B95">
      <w:pPr>
        <w:pStyle w:val="Heading2"/>
        <w:rPr>
          <w:rFonts w:eastAsia="Arial"/>
          <w:color w:val="000000" w:themeColor="text1"/>
        </w:rPr>
      </w:pPr>
      <w:r w:rsidRPr="00B94B95">
        <w:rPr>
          <w:rFonts w:eastAsia="Arial"/>
          <w:color w:val="000000" w:themeColor="text1"/>
        </w:rPr>
        <w:t>Once a student has used all four late submission permits, any further adjustment to assessment deadlines can only be considered and approved via engagement with an appropriate support procedure. This may be under any of the below policies:</w:t>
      </w:r>
    </w:p>
    <w:p w14:paraId="2FC77981" w14:textId="77777777" w:rsidR="007F1AAA" w:rsidRPr="00B94B95" w:rsidRDefault="007F1AAA" w:rsidP="007E307A">
      <w:pPr>
        <w:pStyle w:val="Heading2"/>
        <w:numPr>
          <w:ilvl w:val="0"/>
          <w:numId w:val="19"/>
        </w:numPr>
        <w:rPr>
          <w:rFonts w:eastAsia="Arial"/>
          <w:color w:val="000000" w:themeColor="text1"/>
        </w:rPr>
      </w:pPr>
      <w:r w:rsidRPr="00B94B95">
        <w:rPr>
          <w:rFonts w:eastAsia="Arial"/>
          <w:color w:val="000000" w:themeColor="text1"/>
        </w:rPr>
        <w:t>Support to Study Procedure</w:t>
      </w:r>
    </w:p>
    <w:p w14:paraId="128D09A1" w14:textId="77777777" w:rsidR="007F1AAA" w:rsidRPr="00B94B95" w:rsidRDefault="007F1AAA" w:rsidP="007E307A">
      <w:pPr>
        <w:pStyle w:val="Heading2"/>
        <w:numPr>
          <w:ilvl w:val="0"/>
          <w:numId w:val="19"/>
        </w:numPr>
        <w:rPr>
          <w:rFonts w:eastAsia="Arial"/>
          <w:color w:val="000000" w:themeColor="text1"/>
        </w:rPr>
      </w:pPr>
      <w:r w:rsidRPr="00B94B95">
        <w:rPr>
          <w:rFonts w:eastAsia="Arial"/>
          <w:color w:val="000000" w:themeColor="text1"/>
        </w:rPr>
        <w:t>Reasonable Adjustments Policy</w:t>
      </w:r>
    </w:p>
    <w:p w14:paraId="47B72F11" w14:textId="77777777" w:rsidR="007F1AAA" w:rsidRPr="00B94B95" w:rsidRDefault="007F1AAA" w:rsidP="007E307A">
      <w:pPr>
        <w:pStyle w:val="Heading2"/>
        <w:numPr>
          <w:ilvl w:val="0"/>
          <w:numId w:val="19"/>
        </w:numPr>
        <w:rPr>
          <w:rFonts w:eastAsia="Arial"/>
          <w:color w:val="000000" w:themeColor="text1"/>
        </w:rPr>
      </w:pPr>
      <w:r w:rsidRPr="00B94B95">
        <w:rPr>
          <w:rFonts w:eastAsia="Arial"/>
          <w:color w:val="000000" w:themeColor="text1"/>
        </w:rPr>
        <w:t>Student Parental Support Policy</w:t>
      </w:r>
    </w:p>
    <w:p w14:paraId="59958740" w14:textId="77777777" w:rsidR="007F1AAA" w:rsidRPr="00714D1C" w:rsidRDefault="007F1AAA" w:rsidP="007E307A">
      <w:pPr>
        <w:pStyle w:val="Heading2"/>
        <w:numPr>
          <w:ilvl w:val="0"/>
          <w:numId w:val="19"/>
        </w:numPr>
        <w:rPr>
          <w:rFonts w:eastAsia="Arial"/>
        </w:rPr>
      </w:pPr>
      <w:r w:rsidRPr="00B94B95">
        <w:rPr>
          <w:rFonts w:eastAsia="Arial"/>
          <w:color w:val="000000" w:themeColor="text1"/>
        </w:rPr>
        <w:t>Performance Sport Dual Career Athlete Policy</w:t>
      </w:r>
    </w:p>
    <w:p w14:paraId="69FCC62A" w14:textId="345D867E" w:rsidR="00714D1C" w:rsidRPr="00714D1C" w:rsidRDefault="46C470F5" w:rsidP="54322A39">
      <w:pPr>
        <w:pStyle w:val="Heading2"/>
        <w:rPr>
          <w:rFonts w:eastAsia="Arial"/>
          <w:color w:val="000000" w:themeColor="text1"/>
        </w:rPr>
      </w:pPr>
      <w:r w:rsidRPr="54322A39">
        <w:rPr>
          <w:rFonts w:eastAsia="Arial"/>
          <w:color w:val="000000" w:themeColor="text1"/>
        </w:rPr>
        <w:t>In exceptional instances, a student case may be referred to the institutional Mitigating Circumstances Panel (see 8.</w:t>
      </w:r>
      <w:r w:rsidR="11C9B50F" w:rsidRPr="54322A39">
        <w:rPr>
          <w:rFonts w:eastAsia="Arial"/>
          <w:color w:val="000000" w:themeColor="text1"/>
        </w:rPr>
        <w:t>1</w:t>
      </w:r>
      <w:r w:rsidRPr="54322A39">
        <w:rPr>
          <w:rFonts w:eastAsia="Arial"/>
          <w:color w:val="000000" w:themeColor="text1"/>
        </w:rPr>
        <w:t>).</w:t>
      </w:r>
    </w:p>
    <w:p w14:paraId="5872878D" w14:textId="77777777" w:rsidR="007F1AAA" w:rsidRPr="007F1AAA" w:rsidRDefault="007F1AAA" w:rsidP="007F1AAA">
      <w:pPr>
        <w:spacing w:line="257" w:lineRule="auto"/>
        <w:jc w:val="both"/>
        <w:rPr>
          <w:rFonts w:ascii="Arial" w:eastAsia="Aptos" w:hAnsi="Arial" w:cs="Times New Roman"/>
          <w:color w:val="000000"/>
          <w:sz w:val="24"/>
        </w:rPr>
      </w:pPr>
      <w:r w:rsidRPr="007F1AAA">
        <w:rPr>
          <w:rFonts w:ascii="Arial" w:eastAsia="Arial" w:hAnsi="Arial" w:cs="Arial"/>
          <w:color w:val="000000"/>
          <w:sz w:val="24"/>
        </w:rPr>
        <w:t xml:space="preserve"> </w:t>
      </w:r>
    </w:p>
    <w:p w14:paraId="3CC71C3E" w14:textId="77777777" w:rsidR="007F1AAA" w:rsidRPr="007F1AAA" w:rsidRDefault="007F1AAA" w:rsidP="007E307A">
      <w:pPr>
        <w:pStyle w:val="Heading1"/>
        <w:rPr>
          <w:rFonts w:eastAsia="Aptos" w:cs="Times New Roman"/>
        </w:rPr>
      </w:pPr>
      <w:r w:rsidRPr="007F1AAA">
        <w:rPr>
          <w:rFonts w:eastAsia="Arial"/>
        </w:rPr>
        <w:t>Mitigating Circumstances and Deferred Assessment</w:t>
      </w:r>
    </w:p>
    <w:p w14:paraId="3D933F34" w14:textId="77777777" w:rsidR="007F1AAA" w:rsidRPr="007E307A" w:rsidRDefault="007F1AAA" w:rsidP="007E307A">
      <w:pPr>
        <w:pStyle w:val="Heading2"/>
        <w:rPr>
          <w:rFonts w:eastAsia="Arial"/>
          <w:color w:val="000000" w:themeColor="text1"/>
        </w:rPr>
      </w:pPr>
      <w:r w:rsidRPr="007E307A">
        <w:rPr>
          <w:rFonts w:eastAsia="Arial"/>
          <w:color w:val="000000" w:themeColor="text1"/>
        </w:rPr>
        <w:t>As stated in the Assessment Regulations, if a student does not submit an assignment before the deadline or within the late submission window, or attempt a scheduled live assessment, this will be recorded as a non-attempt (NA).</w:t>
      </w:r>
    </w:p>
    <w:p w14:paraId="123995EF" w14:textId="77777777" w:rsidR="007F1AAA" w:rsidRPr="007E307A" w:rsidRDefault="007F1AAA" w:rsidP="007E307A">
      <w:pPr>
        <w:pStyle w:val="Heading2"/>
        <w:rPr>
          <w:rFonts w:eastAsia="Arial"/>
          <w:color w:val="000000" w:themeColor="text1"/>
        </w:rPr>
      </w:pPr>
      <w:r w:rsidRPr="007E307A">
        <w:rPr>
          <w:rFonts w:eastAsia="Arial"/>
          <w:color w:val="000000" w:themeColor="text1"/>
        </w:rPr>
        <w:t>In cases where a student is experiencing significant personal challenges (defined as ‘Mitigating Circumstances’), which prevent them from attempting the assessment they may wish to request that their assessment attempt is deferred.</w:t>
      </w:r>
    </w:p>
    <w:p w14:paraId="2F2DAE20" w14:textId="77777777" w:rsidR="007F1AAA" w:rsidRPr="007E307A" w:rsidRDefault="007F1AAA" w:rsidP="007E307A">
      <w:pPr>
        <w:pStyle w:val="Heading2"/>
        <w:rPr>
          <w:rFonts w:eastAsia="Arial"/>
          <w:color w:val="000000" w:themeColor="text1"/>
        </w:rPr>
      </w:pPr>
      <w:r w:rsidRPr="007E307A">
        <w:rPr>
          <w:rFonts w:eastAsia="Arial"/>
          <w:color w:val="000000" w:themeColor="text1"/>
        </w:rPr>
        <w:t>It is not possible to provide a definitive list of all possible Mitigating Circumstances, but these might include:</w:t>
      </w:r>
    </w:p>
    <w:p w14:paraId="067DCD88" w14:textId="77777777" w:rsidR="007F1AAA" w:rsidRPr="007F1AAA" w:rsidRDefault="007F1AAA" w:rsidP="007F1AA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t>Serious illness of the student;</w:t>
      </w:r>
    </w:p>
    <w:p w14:paraId="23428DF6" w14:textId="77777777" w:rsidR="007F1AAA" w:rsidRPr="007F1AAA" w:rsidRDefault="007F1AAA" w:rsidP="007F1AA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t>Serious illness of a partner/spouse, close family member or close friend;</w:t>
      </w:r>
    </w:p>
    <w:p w14:paraId="4B4CC8A5" w14:textId="77777777" w:rsidR="007F1AAA" w:rsidRPr="007F1AAA" w:rsidRDefault="007F1AAA" w:rsidP="007F1AA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t>Bereavement;</w:t>
      </w:r>
    </w:p>
    <w:p w14:paraId="5BBA3735" w14:textId="77777777" w:rsidR="007F1AAA" w:rsidRPr="007F1AAA" w:rsidRDefault="007F1AAA" w:rsidP="007F1AA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t>Accident;</w:t>
      </w:r>
    </w:p>
    <w:p w14:paraId="14A0E994" w14:textId="7D48B10E" w:rsidR="007F1AAA" w:rsidRPr="007F1AAA" w:rsidRDefault="007F1AAA" w:rsidP="007E307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t xml:space="preserve">Court appearance or jury service. </w:t>
      </w:r>
    </w:p>
    <w:p w14:paraId="7C2D8A22" w14:textId="77777777" w:rsidR="007F1AAA" w:rsidRPr="007E307A" w:rsidRDefault="007F1AAA" w:rsidP="007E307A">
      <w:pPr>
        <w:pStyle w:val="Heading2"/>
        <w:rPr>
          <w:rFonts w:eastAsia="Arial"/>
          <w:color w:val="000000" w:themeColor="text1"/>
        </w:rPr>
      </w:pPr>
      <w:r w:rsidRPr="007E307A">
        <w:rPr>
          <w:rFonts w:eastAsia="Arial"/>
          <w:color w:val="000000" w:themeColor="text1"/>
        </w:rPr>
        <w:t>Students participating in elite sport should not apply for Mitigating Circumstances in relation to their sporting participation. Such students should contact the Sport Performance Director to make arrangements to manage their academic commitments in line with the University’s Performance Sport Dual Career Athlete Policy.</w:t>
      </w:r>
    </w:p>
    <w:p w14:paraId="363E3C05" w14:textId="77777777" w:rsidR="007F1AAA" w:rsidRPr="007E307A" w:rsidRDefault="007F1AAA" w:rsidP="007E307A">
      <w:pPr>
        <w:pStyle w:val="Heading2"/>
        <w:rPr>
          <w:rFonts w:eastAsia="Arial"/>
          <w:color w:val="000000" w:themeColor="text1"/>
        </w:rPr>
      </w:pPr>
      <w:r w:rsidRPr="007E307A">
        <w:rPr>
          <w:rFonts w:eastAsia="Arial"/>
          <w:color w:val="000000" w:themeColor="text1"/>
        </w:rPr>
        <w:t xml:space="preserve">Students who become pregnant or who expect to become parents should not apply for Mitigating Circumstances, but should consult the Student Parental </w:t>
      </w:r>
      <w:r w:rsidRPr="007E307A">
        <w:rPr>
          <w:rFonts w:eastAsia="Arial"/>
          <w:color w:val="000000" w:themeColor="text1"/>
        </w:rPr>
        <w:lastRenderedPageBreak/>
        <w:t>Support Policy in order for reasonable adjustments to be made to accommodate their pregnancy and/or expected parenthood.</w:t>
      </w:r>
    </w:p>
    <w:p w14:paraId="3E7D4C28" w14:textId="77777777" w:rsidR="007F1AAA" w:rsidRPr="007E307A" w:rsidRDefault="007F1AAA" w:rsidP="007E307A">
      <w:pPr>
        <w:pStyle w:val="Heading2"/>
        <w:rPr>
          <w:rFonts w:eastAsia="Arial"/>
          <w:color w:val="000000" w:themeColor="text1"/>
        </w:rPr>
      </w:pPr>
      <w:r w:rsidRPr="007E307A">
        <w:rPr>
          <w:rFonts w:eastAsia="Arial"/>
          <w:color w:val="000000" w:themeColor="text1"/>
        </w:rPr>
        <w:t>Live assessments are subject to a ‘Fit to Sit’ principle. If a student attempts the assessment, they cannot subsequently request for the attempt to be deferred.</w:t>
      </w:r>
    </w:p>
    <w:p w14:paraId="67DF65D5" w14:textId="77777777" w:rsidR="007F1AAA" w:rsidRPr="007F1AAA" w:rsidRDefault="007F1AAA" w:rsidP="007F1AAA">
      <w:pPr>
        <w:spacing w:line="257" w:lineRule="auto"/>
        <w:jc w:val="both"/>
        <w:rPr>
          <w:rFonts w:ascii="Arial" w:eastAsia="Aptos" w:hAnsi="Arial" w:cs="Times New Roman"/>
          <w:color w:val="000000"/>
          <w:sz w:val="24"/>
        </w:rPr>
      </w:pPr>
      <w:r w:rsidRPr="007F1AAA">
        <w:rPr>
          <w:rFonts w:ascii="Arial" w:eastAsia="Arial" w:hAnsi="Arial" w:cs="Arial"/>
          <w:color w:val="000000"/>
          <w:sz w:val="24"/>
        </w:rPr>
        <w:t xml:space="preserve"> </w:t>
      </w:r>
    </w:p>
    <w:p w14:paraId="00528B47" w14:textId="77777777" w:rsidR="007F1AAA" w:rsidRPr="007F1AAA" w:rsidRDefault="007F1AAA" w:rsidP="00B41588">
      <w:pPr>
        <w:pStyle w:val="Heading1"/>
        <w:rPr>
          <w:rFonts w:eastAsia="Aptos" w:cs="Times New Roman"/>
        </w:rPr>
      </w:pPr>
      <w:r w:rsidRPr="007F1AAA">
        <w:rPr>
          <w:rFonts w:eastAsia="Arial"/>
        </w:rPr>
        <w:t>Submission of Declarations for Deferred Assessment</w:t>
      </w:r>
    </w:p>
    <w:p w14:paraId="79B5CFAC" w14:textId="77777777" w:rsidR="007F1AAA" w:rsidRPr="00B41588" w:rsidRDefault="007F1AAA" w:rsidP="00B41588">
      <w:pPr>
        <w:pStyle w:val="Heading2"/>
        <w:rPr>
          <w:rFonts w:eastAsia="Arial"/>
          <w:color w:val="000000" w:themeColor="text1"/>
        </w:rPr>
      </w:pPr>
      <w:r w:rsidRPr="00B41588">
        <w:rPr>
          <w:rFonts w:eastAsia="Arial"/>
          <w:color w:val="000000" w:themeColor="text1"/>
        </w:rPr>
        <w:t>A declaration of Mitigating Circumstances must be submitted in accordance with instructions in the relevant Programme Handbook. It is a student’s responsibility to submit their own request.</w:t>
      </w:r>
    </w:p>
    <w:p w14:paraId="7311620E" w14:textId="77777777" w:rsidR="007F1AAA" w:rsidRPr="00B41588" w:rsidRDefault="007F1AAA" w:rsidP="00B41588">
      <w:pPr>
        <w:pStyle w:val="Heading2"/>
        <w:rPr>
          <w:rFonts w:eastAsia="Arial"/>
          <w:color w:val="000000" w:themeColor="text1"/>
        </w:rPr>
      </w:pPr>
      <w:r w:rsidRPr="00B41588">
        <w:rPr>
          <w:rFonts w:eastAsia="Arial"/>
          <w:color w:val="000000" w:themeColor="text1"/>
        </w:rPr>
        <w:t>Students are required to select the category their circumstances fall under and write a short statement explaining how their circumstances have impacted their ability to meet the relevant assessment deadline. No third-party evidence is required.</w:t>
      </w:r>
    </w:p>
    <w:p w14:paraId="77A36290" w14:textId="77777777" w:rsidR="007F1AAA" w:rsidRPr="00B41588" w:rsidRDefault="007F1AAA" w:rsidP="00B41588">
      <w:pPr>
        <w:pStyle w:val="Heading2"/>
        <w:rPr>
          <w:rFonts w:eastAsia="Arial"/>
          <w:color w:val="000000" w:themeColor="text1"/>
        </w:rPr>
      </w:pPr>
      <w:r w:rsidRPr="00B41588">
        <w:rPr>
          <w:rFonts w:eastAsia="Arial"/>
          <w:color w:val="000000" w:themeColor="text1"/>
        </w:rPr>
        <w:t>Declarations must be submitted within 20 working days following the original assessment deadline (not from the end of the late submission window).</w:t>
      </w:r>
    </w:p>
    <w:p w14:paraId="44085E2F" w14:textId="77777777" w:rsidR="007F1AAA" w:rsidRPr="00B41588" w:rsidRDefault="007F1AAA" w:rsidP="00B41588">
      <w:pPr>
        <w:pStyle w:val="Heading2"/>
        <w:rPr>
          <w:rFonts w:eastAsia="Arial"/>
          <w:color w:val="000000" w:themeColor="text1"/>
        </w:rPr>
      </w:pPr>
      <w:r w:rsidRPr="00B41588">
        <w:rPr>
          <w:rFonts w:eastAsia="Arial"/>
          <w:color w:val="000000" w:themeColor="text1"/>
        </w:rPr>
        <w:t>If a Mitigating Circumstances declaration is not submitted within 20 working days of the relevant deadline, it will be recorded as a non-attempt and any subsequent reassessment will be recorded at the next attempt number.</w:t>
      </w:r>
    </w:p>
    <w:p w14:paraId="2061975D" w14:textId="77777777" w:rsidR="007F1AAA" w:rsidRPr="00B41588" w:rsidRDefault="007F1AAA" w:rsidP="00B41588">
      <w:pPr>
        <w:pStyle w:val="Heading2"/>
        <w:rPr>
          <w:rFonts w:eastAsia="Arial"/>
          <w:color w:val="000000" w:themeColor="text1"/>
        </w:rPr>
      </w:pPr>
      <w:r w:rsidRPr="00B41588">
        <w:rPr>
          <w:rFonts w:eastAsia="Arial"/>
          <w:color w:val="000000" w:themeColor="text1"/>
        </w:rPr>
        <w:t>A record of any deferred attempt will be shared with the relevant programme team and Registry Services for Examination Board purposes.</w:t>
      </w:r>
    </w:p>
    <w:p w14:paraId="09A0870F" w14:textId="77777777" w:rsidR="007F1AAA" w:rsidRPr="00B41588" w:rsidRDefault="007F1AAA" w:rsidP="00B41588">
      <w:pPr>
        <w:pStyle w:val="Heading2"/>
        <w:rPr>
          <w:rFonts w:eastAsia="Arial"/>
          <w:color w:val="000000" w:themeColor="text1"/>
        </w:rPr>
      </w:pPr>
      <w:r w:rsidRPr="00B41588">
        <w:rPr>
          <w:rFonts w:eastAsia="Arial"/>
          <w:color w:val="000000" w:themeColor="text1"/>
        </w:rPr>
        <w:t>If a student defers their assessment, the new deadline will usually be in the next assessment period.</w:t>
      </w:r>
    </w:p>
    <w:p w14:paraId="7444D2FF" w14:textId="495D9BC4" w:rsidR="007F1AAA" w:rsidRPr="00B41588" w:rsidRDefault="007F1AAA" w:rsidP="00B41588">
      <w:pPr>
        <w:pStyle w:val="Heading2"/>
        <w:rPr>
          <w:rFonts w:eastAsia="Arial"/>
          <w:color w:val="000000" w:themeColor="text1"/>
        </w:rPr>
      </w:pPr>
      <w:r w:rsidRPr="00B41588">
        <w:rPr>
          <w:rFonts w:eastAsia="Arial"/>
          <w:color w:val="000000" w:themeColor="text1"/>
        </w:rPr>
        <w:t xml:space="preserve">Deferring assessments is likely to have a significant impact on a student’s academic journey and may impact their ability to progress to the next level of study or achieve their award.  Students may self-declare a deferred assessment up to twice per academic year. Those students with deferred attempts will be supported through the </w:t>
      </w:r>
      <w:r w:rsidR="009446A8">
        <w:rPr>
          <w:rFonts w:eastAsia="Arial"/>
          <w:color w:val="000000" w:themeColor="text1"/>
        </w:rPr>
        <w:t>S</w:t>
      </w:r>
      <w:r w:rsidRPr="00B41588">
        <w:rPr>
          <w:rFonts w:eastAsia="Arial"/>
          <w:color w:val="000000" w:themeColor="text1"/>
        </w:rPr>
        <w:t xml:space="preserve">upport to </w:t>
      </w:r>
      <w:r w:rsidR="009446A8">
        <w:rPr>
          <w:rFonts w:eastAsia="Arial"/>
          <w:color w:val="000000" w:themeColor="text1"/>
        </w:rPr>
        <w:t>S</w:t>
      </w:r>
      <w:r w:rsidRPr="00B41588">
        <w:rPr>
          <w:rFonts w:eastAsia="Arial"/>
          <w:color w:val="000000" w:themeColor="text1"/>
        </w:rPr>
        <w:t xml:space="preserve">tudy process. </w:t>
      </w:r>
    </w:p>
    <w:p w14:paraId="0F5F8916" w14:textId="77777777" w:rsidR="007F1AAA" w:rsidRPr="007F1AAA" w:rsidRDefault="007F1AAA" w:rsidP="007F1AAA">
      <w:pPr>
        <w:ind w:left="720"/>
        <w:contextualSpacing/>
        <w:rPr>
          <w:rFonts w:ascii="Arial" w:eastAsia="Arial" w:hAnsi="Arial" w:cs="Arial"/>
          <w:color w:val="000000"/>
          <w:sz w:val="24"/>
          <w:szCs w:val="24"/>
        </w:rPr>
      </w:pPr>
    </w:p>
    <w:p w14:paraId="1F9CD087" w14:textId="0D7A5A6A" w:rsidR="007F1AAA" w:rsidRPr="00B41588" w:rsidRDefault="007F1AAA" w:rsidP="00B41588">
      <w:pPr>
        <w:pStyle w:val="Heading1"/>
        <w:rPr>
          <w:rFonts w:eastAsia="Aptos" w:cs="Times New Roman"/>
        </w:rPr>
      </w:pPr>
      <w:r w:rsidRPr="007F1AAA">
        <w:rPr>
          <w:rFonts w:eastAsia="Arial"/>
        </w:rPr>
        <w:t xml:space="preserve">Further </w:t>
      </w:r>
      <w:r w:rsidR="00B94B95">
        <w:rPr>
          <w:rFonts w:eastAsia="Arial"/>
        </w:rPr>
        <w:t>S</w:t>
      </w:r>
      <w:r w:rsidRPr="007F1AAA">
        <w:rPr>
          <w:rFonts w:eastAsia="Arial"/>
        </w:rPr>
        <w:t xml:space="preserve">upport: </w:t>
      </w:r>
      <w:r>
        <w:rPr>
          <w:rFonts w:eastAsia="Arial"/>
        </w:rPr>
        <w:t>D</w:t>
      </w:r>
      <w:r w:rsidRPr="007F1AAA">
        <w:rPr>
          <w:rFonts w:eastAsia="Arial"/>
        </w:rPr>
        <w:t xml:space="preserve">eferred </w:t>
      </w:r>
      <w:r w:rsidR="00B94B95">
        <w:rPr>
          <w:rFonts w:eastAsia="Arial"/>
        </w:rPr>
        <w:t>A</w:t>
      </w:r>
      <w:r w:rsidRPr="007F1AAA">
        <w:rPr>
          <w:rFonts w:eastAsia="Arial"/>
        </w:rPr>
        <w:t>ssessments</w:t>
      </w:r>
    </w:p>
    <w:p w14:paraId="5DF897FE" w14:textId="77777777" w:rsidR="007F1AAA" w:rsidRPr="00B41588" w:rsidRDefault="007F1AAA" w:rsidP="00B41588">
      <w:pPr>
        <w:pStyle w:val="Heading2"/>
        <w:rPr>
          <w:rFonts w:eastAsia="Arial"/>
          <w:color w:val="000000" w:themeColor="text1"/>
        </w:rPr>
      </w:pPr>
      <w:r w:rsidRPr="00B41588">
        <w:rPr>
          <w:rFonts w:eastAsia="Arial"/>
          <w:color w:val="000000" w:themeColor="text1"/>
        </w:rPr>
        <w:t>The number of deferred assessments will be monitored to ensure that students are signposted to additional support as required, at the earliest available opportunity.</w:t>
      </w:r>
    </w:p>
    <w:p w14:paraId="0717B721" w14:textId="77777777" w:rsidR="007F1AAA" w:rsidRPr="00B41588" w:rsidRDefault="007F1AAA" w:rsidP="00B41588">
      <w:pPr>
        <w:pStyle w:val="Heading2"/>
        <w:rPr>
          <w:rFonts w:eastAsia="Arial"/>
          <w:color w:val="000000" w:themeColor="text1"/>
        </w:rPr>
      </w:pPr>
      <w:r w:rsidRPr="00B41588">
        <w:rPr>
          <w:rFonts w:eastAsia="Arial"/>
          <w:color w:val="000000" w:themeColor="text1"/>
        </w:rPr>
        <w:t>Once a student has used had two deferred assessments, any further adjustment to assessment deadlines or additional deferrals can only be considered and approved via engagement with an appropriate support procedure. This may be under any of the below policies:</w:t>
      </w:r>
    </w:p>
    <w:p w14:paraId="33D92124" w14:textId="77777777" w:rsidR="007F1AAA" w:rsidRPr="007F1AAA" w:rsidRDefault="007F1AAA" w:rsidP="007F1AAA">
      <w:pPr>
        <w:spacing w:line="257" w:lineRule="auto"/>
        <w:ind w:left="720"/>
        <w:contextualSpacing/>
        <w:rPr>
          <w:rFonts w:ascii="Arial" w:eastAsia="Arial" w:hAnsi="Arial" w:cs="Arial"/>
          <w:color w:val="000000"/>
          <w:sz w:val="24"/>
        </w:rPr>
      </w:pPr>
    </w:p>
    <w:p w14:paraId="2BD925BD" w14:textId="77777777" w:rsidR="007F1AAA" w:rsidRPr="007F1AAA" w:rsidRDefault="007F1AAA" w:rsidP="007F1AAA">
      <w:pPr>
        <w:numPr>
          <w:ilvl w:val="0"/>
          <w:numId w:val="18"/>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t>Support to Study Procedure</w:t>
      </w:r>
    </w:p>
    <w:p w14:paraId="44899E53" w14:textId="77777777" w:rsidR="007F1AAA" w:rsidRPr="007F1AAA" w:rsidRDefault="007F1AAA" w:rsidP="007F1AAA">
      <w:pPr>
        <w:numPr>
          <w:ilvl w:val="0"/>
          <w:numId w:val="18"/>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lastRenderedPageBreak/>
        <w:t>Reasonable Adjustments Policy</w:t>
      </w:r>
    </w:p>
    <w:p w14:paraId="6E8BA7BF" w14:textId="77777777" w:rsidR="007F1AAA" w:rsidRPr="007F1AAA" w:rsidRDefault="007F1AAA" w:rsidP="007F1AAA">
      <w:pPr>
        <w:numPr>
          <w:ilvl w:val="0"/>
          <w:numId w:val="18"/>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t>Student Parental Support Policy</w:t>
      </w:r>
    </w:p>
    <w:p w14:paraId="7EAF432B" w14:textId="77777777" w:rsidR="007F1AAA" w:rsidRDefault="007F1AAA" w:rsidP="007F1AAA">
      <w:pPr>
        <w:numPr>
          <w:ilvl w:val="0"/>
          <w:numId w:val="18"/>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rPr>
        <w:t>Performance Sport Dual Career Athlete Policy</w:t>
      </w:r>
    </w:p>
    <w:p w14:paraId="6E011E7F" w14:textId="51D9594D" w:rsidR="00714D1C" w:rsidRPr="00714D1C" w:rsidRDefault="46C470F5" w:rsidP="54322A39">
      <w:pPr>
        <w:pStyle w:val="Heading2"/>
        <w:rPr>
          <w:rFonts w:eastAsia="Arial"/>
          <w:color w:val="000000" w:themeColor="text1"/>
        </w:rPr>
      </w:pPr>
      <w:r w:rsidRPr="54322A39">
        <w:rPr>
          <w:rFonts w:eastAsia="Arial"/>
          <w:color w:val="000000" w:themeColor="text1"/>
        </w:rPr>
        <w:t>In exceptional instances, a student case may be referred to the institutional Mitigating Circumstances Panel (see 8.</w:t>
      </w:r>
      <w:r w:rsidR="11C9B50F" w:rsidRPr="54322A39">
        <w:rPr>
          <w:rFonts w:eastAsia="Arial"/>
          <w:color w:val="000000" w:themeColor="text1"/>
        </w:rPr>
        <w:t>1</w:t>
      </w:r>
      <w:r w:rsidRPr="54322A39">
        <w:rPr>
          <w:rFonts w:eastAsia="Arial"/>
          <w:color w:val="000000" w:themeColor="text1"/>
        </w:rPr>
        <w:t>).</w:t>
      </w:r>
    </w:p>
    <w:p w14:paraId="24B0C155" w14:textId="77777777" w:rsidR="007F1AAA" w:rsidRPr="007F1AAA" w:rsidRDefault="007F1AAA" w:rsidP="54322A39">
      <w:pPr>
        <w:spacing w:line="257" w:lineRule="auto"/>
        <w:jc w:val="both"/>
        <w:rPr>
          <w:rFonts w:ascii="Arial" w:eastAsia="Arial" w:hAnsi="Arial" w:cs="Arial"/>
          <w:color w:val="000000"/>
          <w:sz w:val="24"/>
          <w:szCs w:val="24"/>
        </w:rPr>
      </w:pPr>
    </w:p>
    <w:p w14:paraId="2BF5A555" w14:textId="77777777" w:rsidR="007F1AAA" w:rsidRPr="007F1AAA" w:rsidRDefault="7BBA4727" w:rsidP="00B41588">
      <w:pPr>
        <w:pStyle w:val="Heading1"/>
        <w:rPr>
          <w:rFonts w:eastAsia="Arial"/>
        </w:rPr>
      </w:pPr>
      <w:r w:rsidRPr="54322A39">
        <w:rPr>
          <w:rFonts w:eastAsia="Arial"/>
        </w:rPr>
        <w:t>Variation to Procedure</w:t>
      </w:r>
    </w:p>
    <w:p w14:paraId="769ABD8D" w14:textId="4ABD307F" w:rsidR="007C0248" w:rsidRPr="005312F9" w:rsidRDefault="11C9B50F" w:rsidP="007C0248">
      <w:pPr>
        <w:pStyle w:val="Heading2"/>
        <w:rPr>
          <w:rFonts w:eastAsia="Aptos"/>
          <w:color w:val="000000" w:themeColor="text1"/>
          <w:highlight w:val="yellow"/>
        </w:rPr>
      </w:pPr>
      <w:r w:rsidRPr="54322A39">
        <w:rPr>
          <w:rFonts w:eastAsia="Aptos"/>
          <w:color w:val="000000" w:themeColor="text1"/>
        </w:rPr>
        <w:t>An institutional Mitigating Circumstances Panel may consider exceptional student cases and is empowered to make recommendations to the Exam Board</w:t>
      </w:r>
      <w:r w:rsidR="6AC97AB5" w:rsidRPr="54322A39">
        <w:rPr>
          <w:rFonts w:eastAsia="Aptos"/>
          <w:color w:val="000000" w:themeColor="text1"/>
        </w:rPr>
        <w:t>. Such recommendations may be made in the interest of expediency, proportionality</w:t>
      </w:r>
      <w:r w:rsidR="75CB6BD2" w:rsidRPr="54322A39">
        <w:rPr>
          <w:rFonts w:eastAsia="Aptos"/>
          <w:color w:val="000000" w:themeColor="text1"/>
        </w:rPr>
        <w:t xml:space="preserve"> </w:t>
      </w:r>
      <w:r w:rsidR="14909EA7" w:rsidRPr="54322A39">
        <w:rPr>
          <w:rFonts w:eastAsia="Aptos"/>
          <w:color w:val="000000" w:themeColor="text1"/>
        </w:rPr>
        <w:t>and/</w:t>
      </w:r>
      <w:r w:rsidR="75CB6BD2" w:rsidRPr="54322A39">
        <w:rPr>
          <w:rFonts w:eastAsia="Aptos"/>
          <w:color w:val="000000" w:themeColor="text1"/>
        </w:rPr>
        <w:t>or fairness.</w:t>
      </w:r>
    </w:p>
    <w:p w14:paraId="09D4845A" w14:textId="77777777" w:rsidR="007F1AAA" w:rsidRPr="00B41588" w:rsidRDefault="007F1AAA" w:rsidP="00B41588">
      <w:pPr>
        <w:pStyle w:val="Heading2"/>
        <w:rPr>
          <w:rFonts w:eastAsia="Aptos"/>
          <w:color w:val="000000" w:themeColor="text1"/>
        </w:rPr>
      </w:pPr>
      <w:r w:rsidRPr="00B41588">
        <w:rPr>
          <w:rFonts w:eastAsia="Aptos"/>
          <w:color w:val="000000" w:themeColor="text1"/>
        </w:rPr>
        <w:t>Should there be any dispute as to the application of this procedure this will be reviewed by the Chief Student Officer (or nominee) whose decision will be final.</w:t>
      </w:r>
    </w:p>
    <w:p w14:paraId="6DCD5743" w14:textId="77777777" w:rsidR="007F1AAA" w:rsidRPr="00B41588" w:rsidRDefault="007F1AAA" w:rsidP="00B41588">
      <w:pPr>
        <w:pStyle w:val="Heading2"/>
        <w:rPr>
          <w:rFonts w:eastAsia="Aptos"/>
          <w:color w:val="000000" w:themeColor="text1"/>
        </w:rPr>
      </w:pPr>
      <w:r w:rsidRPr="00B41588">
        <w:rPr>
          <w:rFonts w:eastAsia="Aptos"/>
          <w:color w:val="000000" w:themeColor="text1"/>
        </w:rPr>
        <w:t>Operation of Mitigating Circumstances is devolved to partner institutions. While Cardiff Met will support local implementation of this procedure to be robust and safeguard academic standards, some adaptations may be agreed in order that processes can genuinely support the needs of students in a contextualised way, as appropriate.</w:t>
      </w:r>
    </w:p>
    <w:p w14:paraId="122C4864" w14:textId="77777777" w:rsidR="007F1AAA" w:rsidRPr="00560C93" w:rsidRDefault="007F1AAA" w:rsidP="00714D1C">
      <w:pPr>
        <w:pStyle w:val="Heading3"/>
        <w:rPr>
          <w:rFonts w:eastAsia="Aptos"/>
          <w:color w:val="000000" w:themeColor="text1"/>
        </w:rPr>
      </w:pPr>
      <w:r w:rsidRPr="00560C93">
        <w:rPr>
          <w:rFonts w:eastAsia="Aptos"/>
          <w:color w:val="000000" w:themeColor="text1"/>
        </w:rPr>
        <w:t>Any partner institution deviations from this procedure will be agreed and documented with Global Engagement and reviewed on an ongoing basis.</w:t>
      </w:r>
    </w:p>
    <w:p w14:paraId="47E1D781" w14:textId="77777777" w:rsidR="007F1AAA" w:rsidRPr="007F1AAA" w:rsidRDefault="007F1AAA" w:rsidP="007F1AAA">
      <w:pPr>
        <w:spacing w:line="257" w:lineRule="auto"/>
        <w:jc w:val="both"/>
        <w:rPr>
          <w:rFonts w:ascii="Arial" w:eastAsia="Arial" w:hAnsi="Arial" w:cs="Arial"/>
          <w:b/>
          <w:bCs/>
          <w:color w:val="000000"/>
          <w:sz w:val="24"/>
        </w:rPr>
      </w:pPr>
    </w:p>
    <w:p w14:paraId="3E154C07" w14:textId="77777777" w:rsidR="007F1AAA" w:rsidRPr="007F1AAA" w:rsidRDefault="007F1AAA" w:rsidP="00B41588">
      <w:pPr>
        <w:pStyle w:val="Heading1"/>
        <w:rPr>
          <w:rFonts w:eastAsia="Aptos" w:cs="Times New Roman"/>
        </w:rPr>
      </w:pPr>
      <w:r w:rsidRPr="007F1AAA">
        <w:rPr>
          <w:rFonts w:eastAsia="Arial"/>
        </w:rPr>
        <w:t>Confidentiality</w:t>
      </w:r>
    </w:p>
    <w:p w14:paraId="52126C0D" w14:textId="77777777" w:rsidR="007F1AAA" w:rsidRPr="004E06C1" w:rsidRDefault="007F1AAA" w:rsidP="00B41588">
      <w:pPr>
        <w:pStyle w:val="Heading2"/>
        <w:rPr>
          <w:rFonts w:eastAsia="Arial"/>
          <w:color w:val="000000" w:themeColor="text1"/>
        </w:rPr>
      </w:pPr>
      <w:r w:rsidRPr="004E06C1">
        <w:rPr>
          <w:rFonts w:eastAsia="Arial"/>
          <w:color w:val="000000" w:themeColor="text1"/>
        </w:rPr>
        <w:t>Information submitted as part of the Mitigating Circumstances procedure will be reviewed by people who need to see it in order to ensure any appropriate support is promptly signposted. This may include programme administrators, Student Services staff and/or academic staff.</w:t>
      </w:r>
    </w:p>
    <w:p w14:paraId="43C60267" w14:textId="77777777" w:rsidR="007F1AAA" w:rsidRPr="004E06C1" w:rsidRDefault="007F1AAA" w:rsidP="00B41588">
      <w:pPr>
        <w:pStyle w:val="Heading2"/>
        <w:rPr>
          <w:rFonts w:eastAsia="Arial"/>
          <w:color w:val="000000" w:themeColor="text1"/>
        </w:rPr>
      </w:pPr>
      <w:r w:rsidRPr="004E06C1">
        <w:rPr>
          <w:rFonts w:eastAsia="Arial"/>
          <w:color w:val="000000" w:themeColor="text1"/>
        </w:rPr>
        <w:t>If the nature of a Mitigating Circumstances declaration gives cause for concern as to the student’s immediate wellbeing, the student may be referred to the Wellbeing Service team to establish if any support can be provided. In exceptional circumstances, the University’s Safeguarding Lead may be asked to review the content of a declaration.</w:t>
      </w:r>
    </w:p>
    <w:p w14:paraId="09EB7AC0" w14:textId="77777777" w:rsidR="007F1AAA" w:rsidRPr="004E06C1" w:rsidRDefault="007F1AAA" w:rsidP="00B41588">
      <w:pPr>
        <w:pStyle w:val="Heading2"/>
        <w:rPr>
          <w:rFonts w:eastAsia="Arial"/>
          <w:color w:val="000000" w:themeColor="text1"/>
        </w:rPr>
      </w:pPr>
      <w:r w:rsidRPr="004E06C1">
        <w:rPr>
          <w:rFonts w:eastAsia="Arial"/>
          <w:color w:val="000000" w:themeColor="text1"/>
        </w:rPr>
        <w:t xml:space="preserve">All sensitive information pertaining to a student’s declaration will be stored confidentially within University systems. Any staff member found to have breached the confidentiality of a student declaring Mitigating Circumstances will be subject to Cardiff Met disciplinary processes. All information is retained as per the University’s Data Retention Policy. </w:t>
      </w:r>
    </w:p>
    <w:p w14:paraId="0B4B1FC9" w14:textId="3A8618DF" w:rsidR="0050726B" w:rsidRDefault="0050726B">
      <w:pPr>
        <w:rPr>
          <w:rFonts w:ascii="Arial" w:eastAsia="Arial" w:hAnsi="Arial" w:cs="Arial"/>
          <w:sz w:val="24"/>
          <w:lang w:val="en-US"/>
        </w:rPr>
      </w:pPr>
      <w:r>
        <w:rPr>
          <w:sz w:val="24"/>
        </w:rPr>
        <w:br w:type="page"/>
      </w:r>
    </w:p>
    <w:p w14:paraId="4EAF213F" w14:textId="77777777" w:rsidR="003F657D" w:rsidRPr="00862439" w:rsidRDefault="003F657D" w:rsidP="0050726B">
      <w:pPr>
        <w:pStyle w:val="Heading1"/>
        <w:numPr>
          <w:ilvl w:val="0"/>
          <w:numId w:val="0"/>
        </w:numPr>
        <w:ind w:left="431"/>
        <w:rPr>
          <w:rFonts w:ascii="Arial" w:hAnsi="Arial" w:cs="Arial"/>
          <w:sz w:val="24"/>
          <w:szCs w:val="24"/>
        </w:rPr>
      </w:pPr>
      <w:r w:rsidRPr="00862439">
        <w:rPr>
          <w:rFonts w:ascii="Arial" w:hAnsi="Arial" w:cs="Arial"/>
          <w:sz w:val="24"/>
          <w:szCs w:val="24"/>
        </w:rPr>
        <w:lastRenderedPageBreak/>
        <w:t>Appendix 1 – IT issues</w:t>
      </w:r>
      <w:r>
        <w:rPr>
          <w:rFonts w:ascii="Arial" w:hAnsi="Arial" w:cs="Arial"/>
          <w:sz w:val="24"/>
          <w:szCs w:val="24"/>
        </w:rPr>
        <w:t xml:space="preserve"> (written assessments only)</w:t>
      </w:r>
    </w:p>
    <w:p w14:paraId="2F9B5C8F" w14:textId="77777777" w:rsidR="003F657D" w:rsidRPr="0094595F" w:rsidRDefault="003F657D" w:rsidP="003F657D">
      <w:pPr>
        <w:pStyle w:val="ListParagraph"/>
        <w:tabs>
          <w:tab w:val="left" w:pos="929"/>
        </w:tabs>
        <w:spacing w:before="129"/>
        <w:ind w:left="567" w:right="106" w:firstLine="0"/>
        <w:rPr>
          <w:sz w:val="24"/>
          <w:szCs w:val="24"/>
          <w:lang w:val="en-GB"/>
        </w:rPr>
      </w:pPr>
      <w:r w:rsidRPr="0094595F">
        <w:rPr>
          <w:sz w:val="24"/>
          <w:szCs w:val="24"/>
          <w:lang w:val="en-GB"/>
        </w:rPr>
        <w:t>If, when trying to submit your work, you receive an error message, take the following actions:</w:t>
      </w:r>
    </w:p>
    <w:p w14:paraId="763A9849" w14:textId="77777777" w:rsidR="003F657D" w:rsidRPr="0094595F" w:rsidRDefault="003F657D" w:rsidP="003F657D">
      <w:pPr>
        <w:pStyle w:val="ListParagraph"/>
        <w:numPr>
          <w:ilvl w:val="0"/>
          <w:numId w:val="8"/>
        </w:numPr>
        <w:spacing w:before="129"/>
        <w:ind w:left="851" w:right="106" w:hanging="284"/>
        <w:rPr>
          <w:sz w:val="24"/>
          <w:szCs w:val="24"/>
        </w:rPr>
      </w:pPr>
      <w:r w:rsidRPr="0094595F">
        <w:rPr>
          <w:sz w:val="24"/>
          <w:szCs w:val="24"/>
        </w:rPr>
        <w:t>Take a screenshot of the error message, ensuring that the time is clearly visible.</w:t>
      </w:r>
    </w:p>
    <w:p w14:paraId="40F12D84"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 xml:space="preserve">Contact the IT Helpdesk immediately on </w:t>
      </w:r>
      <w:r>
        <w:rPr>
          <w:sz w:val="24"/>
          <w:szCs w:val="24"/>
          <w:lang w:val="en-GB"/>
        </w:rPr>
        <w:t>02920 41 7000</w:t>
      </w:r>
      <w:r w:rsidRPr="0094595F">
        <w:rPr>
          <w:sz w:val="24"/>
          <w:szCs w:val="24"/>
          <w:lang w:val="en-GB"/>
        </w:rPr>
        <w:t xml:space="preserve"> or </w:t>
      </w:r>
      <w:r>
        <w:rPr>
          <w:sz w:val="24"/>
          <w:szCs w:val="24"/>
          <w:lang w:val="en-GB"/>
        </w:rPr>
        <w:t xml:space="preserve">via the self-service portal </w:t>
      </w:r>
      <w:hyperlink r:id="rId10" w:history="1">
        <w:r w:rsidRPr="00F204D5">
          <w:rPr>
            <w:rStyle w:val="Hyperlink"/>
            <w:sz w:val="24"/>
            <w:szCs w:val="24"/>
            <w:lang w:val="en-GB"/>
          </w:rPr>
          <w:t>www.halo.cardiffmet.ac.uk/portal</w:t>
        </w:r>
      </w:hyperlink>
      <w:r w:rsidRPr="0094595F">
        <w:rPr>
          <w:sz w:val="24"/>
          <w:szCs w:val="24"/>
          <w:lang w:val="en-GB"/>
        </w:rPr>
        <w:t>.</w:t>
      </w:r>
    </w:p>
    <w:p w14:paraId="7F6C0AAC"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 xml:space="preserve">If you are not able to resolve the error problem by the submission deadline, send the screenshot and the work you were attempting to submit to </w:t>
      </w:r>
      <w:r>
        <w:rPr>
          <w:sz w:val="24"/>
          <w:szCs w:val="24"/>
          <w:lang w:val="en-GB"/>
        </w:rPr>
        <w:t>the school admin team. set</w:t>
      </w:r>
      <w:r w:rsidRPr="0094595F">
        <w:rPr>
          <w:sz w:val="24"/>
          <w:szCs w:val="24"/>
          <w:lang w:val="en-GB"/>
        </w:rPr>
        <w:t>ting out the problem. </w:t>
      </w:r>
    </w:p>
    <w:p w14:paraId="6EE27400"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Do not resave the work after attempting to submit.</w:t>
      </w:r>
    </w:p>
    <w:p w14:paraId="0089063C"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 xml:space="preserve">Submit a </w:t>
      </w:r>
      <w:r>
        <w:rPr>
          <w:sz w:val="24"/>
          <w:szCs w:val="24"/>
          <w:lang w:val="en-GB"/>
        </w:rPr>
        <w:t xml:space="preserve">late submission </w:t>
      </w:r>
      <w:r w:rsidRPr="0094595F">
        <w:rPr>
          <w:sz w:val="24"/>
          <w:szCs w:val="24"/>
          <w:lang w:val="en-GB"/>
        </w:rPr>
        <w:t>application</w:t>
      </w:r>
      <w:r>
        <w:rPr>
          <w:sz w:val="24"/>
          <w:szCs w:val="24"/>
          <w:lang w:val="en-GB"/>
        </w:rPr>
        <w:t xml:space="preserve"> form</w:t>
      </w:r>
      <w:r w:rsidRPr="0094595F">
        <w:rPr>
          <w:sz w:val="24"/>
          <w:szCs w:val="24"/>
          <w:lang w:val="en-GB"/>
        </w:rPr>
        <w:t>, attaching the dated screenshot.</w:t>
      </w:r>
    </w:p>
    <w:p w14:paraId="23C0E45F"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 xml:space="preserve">You must complete all these actions </w:t>
      </w:r>
      <w:r>
        <w:rPr>
          <w:sz w:val="24"/>
          <w:szCs w:val="24"/>
          <w:lang w:val="en-GB"/>
        </w:rPr>
        <w:t xml:space="preserve">by the next working day </w:t>
      </w:r>
      <w:r w:rsidRPr="0094595F">
        <w:rPr>
          <w:sz w:val="24"/>
          <w:szCs w:val="24"/>
          <w:lang w:val="en-GB"/>
        </w:rPr>
        <w:t xml:space="preserve">from the </w:t>
      </w:r>
      <w:r>
        <w:rPr>
          <w:sz w:val="24"/>
          <w:szCs w:val="24"/>
          <w:lang w:val="en-GB"/>
        </w:rPr>
        <w:t xml:space="preserve">time of </w:t>
      </w:r>
      <w:r w:rsidRPr="0094595F">
        <w:rPr>
          <w:sz w:val="24"/>
          <w:szCs w:val="24"/>
          <w:lang w:val="en-GB"/>
        </w:rPr>
        <w:t>submission. </w:t>
      </w:r>
    </w:p>
    <w:p w14:paraId="3A05C94F" w14:textId="77777777" w:rsidR="003F657D" w:rsidRPr="00A46C55" w:rsidRDefault="003F657D" w:rsidP="003F657D">
      <w:pPr>
        <w:pStyle w:val="ListParagraph"/>
        <w:numPr>
          <w:ilvl w:val="0"/>
          <w:numId w:val="8"/>
        </w:numPr>
        <w:spacing w:before="129"/>
        <w:ind w:left="851" w:right="106" w:hanging="284"/>
        <w:rPr>
          <w:sz w:val="24"/>
          <w:szCs w:val="24"/>
          <w:lang w:val="en-GB"/>
        </w:rPr>
      </w:pPr>
      <w:r w:rsidRPr="0094595F">
        <w:rPr>
          <w:sz w:val="24"/>
          <w:szCs w:val="24"/>
        </w:rPr>
        <w:t>You will receive email confirmation of the action you need to take next.</w:t>
      </w:r>
    </w:p>
    <w:p w14:paraId="0B08B4E8" w14:textId="77777777" w:rsidR="003F657D" w:rsidRPr="00170BF5" w:rsidRDefault="003F657D" w:rsidP="003F657D">
      <w:pPr>
        <w:pStyle w:val="ListParagraph"/>
        <w:numPr>
          <w:ilvl w:val="0"/>
          <w:numId w:val="8"/>
        </w:numPr>
        <w:spacing w:before="129"/>
        <w:ind w:left="851" w:right="106" w:hanging="284"/>
        <w:rPr>
          <w:sz w:val="24"/>
          <w:szCs w:val="24"/>
          <w:lang w:val="en-GB"/>
        </w:rPr>
      </w:pPr>
      <w:r>
        <w:rPr>
          <w:sz w:val="24"/>
          <w:szCs w:val="24"/>
        </w:rPr>
        <w:t>For any issues during an online exam or class test, please contact the school admin team immediately.</w:t>
      </w:r>
    </w:p>
    <w:p w14:paraId="6810D1F0" w14:textId="77777777" w:rsidR="003F657D" w:rsidRDefault="003F657D" w:rsidP="003F657D">
      <w:pPr>
        <w:spacing w:before="129"/>
        <w:ind w:left="567" w:right="106"/>
        <w:rPr>
          <w:sz w:val="24"/>
          <w:szCs w:val="24"/>
        </w:rPr>
      </w:pPr>
    </w:p>
    <w:p w14:paraId="6852E417" w14:textId="77777777" w:rsidR="003F657D" w:rsidRDefault="003F657D" w:rsidP="003F657D">
      <w:pPr>
        <w:spacing w:before="129"/>
        <w:ind w:left="567" w:right="106"/>
        <w:rPr>
          <w:rFonts w:ascii="Arial" w:hAnsi="Arial" w:cs="Arial"/>
          <w:sz w:val="24"/>
          <w:szCs w:val="24"/>
        </w:rPr>
      </w:pPr>
      <w:r w:rsidRPr="00170BF5">
        <w:rPr>
          <w:rFonts w:ascii="Arial" w:hAnsi="Arial" w:cs="Arial"/>
          <w:sz w:val="24"/>
          <w:szCs w:val="24"/>
        </w:rPr>
        <w:t xml:space="preserve">School admin </w:t>
      </w:r>
      <w:r>
        <w:rPr>
          <w:rFonts w:ascii="Arial" w:hAnsi="Arial" w:cs="Arial"/>
          <w:sz w:val="24"/>
          <w:szCs w:val="24"/>
        </w:rPr>
        <w:t>office contacts:</w:t>
      </w:r>
    </w:p>
    <w:p w14:paraId="4F052284" w14:textId="77777777" w:rsidR="003F657D" w:rsidRDefault="003F657D" w:rsidP="003F657D">
      <w:pPr>
        <w:spacing w:before="129"/>
        <w:ind w:left="567" w:right="106"/>
        <w:rPr>
          <w:rFonts w:ascii="Arial" w:hAnsi="Arial" w:cs="Arial"/>
          <w:sz w:val="24"/>
          <w:szCs w:val="24"/>
        </w:rPr>
      </w:pPr>
    </w:p>
    <w:p w14:paraId="130A0BD4" w14:textId="77777777" w:rsidR="003F657D"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Sport &amp; Health Sciences </w:t>
      </w:r>
      <w:hyperlink r:id="rId11" w:history="1">
        <w:r w:rsidRPr="00EF3602">
          <w:rPr>
            <w:rStyle w:val="Hyperlink"/>
            <w:rFonts w:ascii="Arial" w:hAnsi="Arial" w:cs="Arial"/>
            <w:sz w:val="24"/>
            <w:szCs w:val="24"/>
          </w:rPr>
          <w:t>MitCircsCSSHS@cardiffmet.ac.uk</w:t>
        </w:r>
      </w:hyperlink>
    </w:p>
    <w:p w14:paraId="037490BF" w14:textId="77777777" w:rsidR="003F657D"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Management </w:t>
      </w:r>
      <w:hyperlink r:id="rId12" w:history="1">
        <w:r w:rsidRPr="00EF3602">
          <w:rPr>
            <w:rStyle w:val="Hyperlink"/>
            <w:rFonts w:ascii="Arial" w:hAnsi="Arial" w:cs="Arial"/>
            <w:sz w:val="24"/>
            <w:szCs w:val="24"/>
          </w:rPr>
          <w:t>CSM-UG-MSc@cardiffmet.ac.uk</w:t>
        </w:r>
      </w:hyperlink>
    </w:p>
    <w:p w14:paraId="29E1A2DD" w14:textId="77777777" w:rsidR="003F657D"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Education &amp; Social Policy </w:t>
      </w:r>
      <w:hyperlink r:id="rId13" w:history="1">
        <w:r w:rsidRPr="00EF3602">
          <w:rPr>
            <w:rStyle w:val="Hyperlink"/>
            <w:rFonts w:ascii="Arial" w:hAnsi="Arial" w:cs="Arial"/>
            <w:sz w:val="24"/>
            <w:szCs w:val="24"/>
          </w:rPr>
          <w:t>MitCircsCSESP@cardiffmet.ac.uk</w:t>
        </w:r>
      </w:hyperlink>
    </w:p>
    <w:p w14:paraId="5031C9F5" w14:textId="77777777" w:rsidR="003F657D"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Art &amp; Design </w:t>
      </w:r>
      <w:hyperlink r:id="rId14" w:history="1">
        <w:r w:rsidRPr="00EF3602">
          <w:rPr>
            <w:rStyle w:val="Hyperlink"/>
            <w:rFonts w:ascii="Arial" w:hAnsi="Arial" w:cs="Arial"/>
            <w:sz w:val="24"/>
            <w:szCs w:val="24"/>
          </w:rPr>
          <w:t>CSADadmin@cardiffmet.ac.uk</w:t>
        </w:r>
      </w:hyperlink>
    </w:p>
    <w:p w14:paraId="211D9565" w14:textId="77777777" w:rsidR="003F657D" w:rsidRPr="00170BF5"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Technologies </w:t>
      </w:r>
      <w:hyperlink r:id="rId15" w:history="1">
        <w:r w:rsidRPr="00EF3602">
          <w:rPr>
            <w:rStyle w:val="Hyperlink"/>
            <w:rFonts w:ascii="Arial" w:hAnsi="Arial" w:cs="Arial"/>
            <w:sz w:val="24"/>
            <w:szCs w:val="24"/>
          </w:rPr>
          <w:t>cstadministration@cardiffmet.ac.uk</w:t>
        </w:r>
      </w:hyperlink>
      <w:r>
        <w:rPr>
          <w:rFonts w:ascii="Arial" w:hAnsi="Arial" w:cs="Arial"/>
          <w:sz w:val="24"/>
          <w:szCs w:val="24"/>
        </w:rPr>
        <w:t xml:space="preserve"> </w:t>
      </w:r>
    </w:p>
    <w:p w14:paraId="06F911EC" w14:textId="77777777" w:rsidR="003F657D" w:rsidRPr="000E114F" w:rsidRDefault="003F657D" w:rsidP="003F657D">
      <w:pPr>
        <w:tabs>
          <w:tab w:val="left" w:pos="829"/>
        </w:tabs>
        <w:spacing w:before="73"/>
        <w:ind w:right="120"/>
        <w:rPr>
          <w:sz w:val="24"/>
        </w:rPr>
      </w:pPr>
    </w:p>
    <w:p w14:paraId="6B2F38E7" w14:textId="1164E33F" w:rsidR="00053926" w:rsidRDefault="00053926">
      <w:pPr>
        <w:rPr>
          <w:sz w:val="24"/>
        </w:rPr>
      </w:pPr>
      <w:r>
        <w:rPr>
          <w:sz w:val="24"/>
        </w:rPr>
        <w:br w:type="page"/>
      </w:r>
    </w:p>
    <w:p w14:paraId="666EB223" w14:textId="08BF53F1" w:rsidR="00053926" w:rsidRDefault="00053926" w:rsidP="00053926">
      <w:pPr>
        <w:pStyle w:val="Heading1"/>
        <w:numPr>
          <w:ilvl w:val="0"/>
          <w:numId w:val="0"/>
        </w:numPr>
        <w:ind w:left="431"/>
      </w:pPr>
      <w:r w:rsidRPr="00862439">
        <w:lastRenderedPageBreak/>
        <w:t xml:space="preserve">Appendix </w:t>
      </w:r>
      <w:r>
        <w:t>2</w:t>
      </w:r>
    </w:p>
    <w:p w14:paraId="454C41DB" w14:textId="7C91B465" w:rsidR="00053926" w:rsidRPr="00053926" w:rsidRDefault="008A4ABF" w:rsidP="00053926">
      <w:pPr>
        <w:pStyle w:val="Heading2"/>
        <w:numPr>
          <w:ilvl w:val="0"/>
          <w:numId w:val="0"/>
        </w:numPr>
        <w:ind w:left="578"/>
      </w:pPr>
      <w:r>
        <w:t>MC institutional panel – Terms of Reference (tbc)</w:t>
      </w:r>
    </w:p>
    <w:sectPr w:rsidR="00053926" w:rsidRPr="0005392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810E" w14:textId="77777777" w:rsidR="004E5C1B" w:rsidRDefault="004E5C1B" w:rsidP="007D4A31">
      <w:pPr>
        <w:spacing w:after="0" w:line="240" w:lineRule="auto"/>
      </w:pPr>
      <w:r>
        <w:separator/>
      </w:r>
    </w:p>
  </w:endnote>
  <w:endnote w:type="continuationSeparator" w:id="0">
    <w:p w14:paraId="4D0B445F" w14:textId="77777777" w:rsidR="004E5C1B" w:rsidRDefault="004E5C1B"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74646215" w:rsidR="007D4A31" w:rsidRDefault="007D4A31">
        <w:pPr>
          <w:pStyle w:val="Footer"/>
          <w:jc w:val="center"/>
        </w:pPr>
        <w:r>
          <w:fldChar w:fldCharType="begin"/>
        </w:r>
        <w:r>
          <w:instrText xml:space="preserve"> PAGE   \* MERGEFORMAT </w:instrText>
        </w:r>
        <w:r>
          <w:fldChar w:fldCharType="separate"/>
        </w:r>
        <w:r w:rsidR="00935809">
          <w:rPr>
            <w:noProof/>
          </w:rPr>
          <w:t>6</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B256" w14:textId="77777777" w:rsidR="004E5C1B" w:rsidRDefault="004E5C1B" w:rsidP="007D4A31">
      <w:pPr>
        <w:spacing w:after="0" w:line="240" w:lineRule="auto"/>
      </w:pPr>
      <w:r>
        <w:separator/>
      </w:r>
    </w:p>
  </w:footnote>
  <w:footnote w:type="continuationSeparator" w:id="0">
    <w:p w14:paraId="4AE84335" w14:textId="77777777" w:rsidR="004E5C1B" w:rsidRDefault="004E5C1B"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EABB"/>
    <w:multiLevelType w:val="hybridMultilevel"/>
    <w:tmpl w:val="C5DAC76E"/>
    <w:lvl w:ilvl="0" w:tplc="5950E794">
      <w:start w:val="25"/>
      <w:numFmt w:val="decimal"/>
      <w:lvlText w:val="%1."/>
      <w:lvlJc w:val="left"/>
      <w:pPr>
        <w:ind w:left="720" w:hanging="360"/>
      </w:pPr>
    </w:lvl>
    <w:lvl w:ilvl="1" w:tplc="994693F4">
      <w:start w:val="1"/>
      <w:numFmt w:val="lowerLetter"/>
      <w:lvlText w:val="%2."/>
      <w:lvlJc w:val="left"/>
      <w:pPr>
        <w:ind w:left="1440" w:hanging="360"/>
      </w:pPr>
    </w:lvl>
    <w:lvl w:ilvl="2" w:tplc="907A1228">
      <w:start w:val="1"/>
      <w:numFmt w:val="lowerRoman"/>
      <w:lvlText w:val="%3."/>
      <w:lvlJc w:val="right"/>
      <w:pPr>
        <w:ind w:left="2160" w:hanging="180"/>
      </w:pPr>
    </w:lvl>
    <w:lvl w:ilvl="3" w:tplc="FEB4FEF8">
      <w:start w:val="1"/>
      <w:numFmt w:val="decimal"/>
      <w:lvlText w:val="%4."/>
      <w:lvlJc w:val="left"/>
      <w:pPr>
        <w:ind w:left="2880" w:hanging="360"/>
      </w:pPr>
    </w:lvl>
    <w:lvl w:ilvl="4" w:tplc="06AC6C0A">
      <w:start w:val="1"/>
      <w:numFmt w:val="lowerLetter"/>
      <w:lvlText w:val="%5."/>
      <w:lvlJc w:val="left"/>
      <w:pPr>
        <w:ind w:left="3600" w:hanging="360"/>
      </w:pPr>
    </w:lvl>
    <w:lvl w:ilvl="5" w:tplc="442A8B42">
      <w:start w:val="1"/>
      <w:numFmt w:val="lowerRoman"/>
      <w:lvlText w:val="%6."/>
      <w:lvlJc w:val="right"/>
      <w:pPr>
        <w:ind w:left="4320" w:hanging="180"/>
      </w:pPr>
    </w:lvl>
    <w:lvl w:ilvl="6" w:tplc="EBD83B1A">
      <w:start w:val="1"/>
      <w:numFmt w:val="decimal"/>
      <w:lvlText w:val="%7."/>
      <w:lvlJc w:val="left"/>
      <w:pPr>
        <w:ind w:left="5040" w:hanging="360"/>
      </w:pPr>
    </w:lvl>
    <w:lvl w:ilvl="7" w:tplc="D238340E">
      <w:start w:val="1"/>
      <w:numFmt w:val="lowerLetter"/>
      <w:lvlText w:val="%8."/>
      <w:lvlJc w:val="left"/>
      <w:pPr>
        <w:ind w:left="5760" w:hanging="360"/>
      </w:pPr>
    </w:lvl>
    <w:lvl w:ilvl="8" w:tplc="498263DA">
      <w:start w:val="1"/>
      <w:numFmt w:val="lowerRoman"/>
      <w:lvlText w:val="%9."/>
      <w:lvlJc w:val="right"/>
      <w:pPr>
        <w:ind w:left="6480" w:hanging="180"/>
      </w:pPr>
    </w:lvl>
  </w:abstractNum>
  <w:abstractNum w:abstractNumId="1" w15:restartNumberingAfterBreak="0">
    <w:nsid w:val="0695E91B"/>
    <w:multiLevelType w:val="hybridMultilevel"/>
    <w:tmpl w:val="59BCD71E"/>
    <w:lvl w:ilvl="0" w:tplc="22DE0174">
      <w:start w:val="1"/>
      <w:numFmt w:val="decimal"/>
      <w:lvlText w:val="%1."/>
      <w:lvlJc w:val="left"/>
      <w:pPr>
        <w:ind w:left="720" w:hanging="360"/>
      </w:pPr>
    </w:lvl>
    <w:lvl w:ilvl="1" w:tplc="19B22972">
      <w:start w:val="1"/>
      <w:numFmt w:val="lowerLetter"/>
      <w:lvlText w:val="%2."/>
      <w:lvlJc w:val="left"/>
      <w:pPr>
        <w:ind w:left="1440" w:hanging="360"/>
      </w:pPr>
    </w:lvl>
    <w:lvl w:ilvl="2" w:tplc="608C486E">
      <w:start w:val="1"/>
      <w:numFmt w:val="lowerRoman"/>
      <w:lvlText w:val="%3."/>
      <w:lvlJc w:val="right"/>
      <w:pPr>
        <w:ind w:left="2160" w:hanging="180"/>
      </w:pPr>
    </w:lvl>
    <w:lvl w:ilvl="3" w:tplc="0AA6DFF4">
      <w:start w:val="1"/>
      <w:numFmt w:val="decimal"/>
      <w:lvlText w:val="%4."/>
      <w:lvlJc w:val="left"/>
      <w:pPr>
        <w:ind w:left="2880" w:hanging="360"/>
      </w:pPr>
    </w:lvl>
    <w:lvl w:ilvl="4" w:tplc="4BD6AE00">
      <w:start w:val="1"/>
      <w:numFmt w:val="lowerLetter"/>
      <w:lvlText w:val="%5."/>
      <w:lvlJc w:val="left"/>
      <w:pPr>
        <w:ind w:left="3600" w:hanging="360"/>
      </w:pPr>
    </w:lvl>
    <w:lvl w:ilvl="5" w:tplc="EA5694E6">
      <w:start w:val="1"/>
      <w:numFmt w:val="lowerRoman"/>
      <w:lvlText w:val="%6."/>
      <w:lvlJc w:val="right"/>
      <w:pPr>
        <w:ind w:left="4320" w:hanging="180"/>
      </w:pPr>
    </w:lvl>
    <w:lvl w:ilvl="6" w:tplc="DAD4B24C">
      <w:start w:val="1"/>
      <w:numFmt w:val="decimal"/>
      <w:lvlText w:val="%7."/>
      <w:lvlJc w:val="left"/>
      <w:pPr>
        <w:ind w:left="5040" w:hanging="360"/>
      </w:pPr>
    </w:lvl>
    <w:lvl w:ilvl="7" w:tplc="91CCD06C">
      <w:start w:val="1"/>
      <w:numFmt w:val="lowerLetter"/>
      <w:lvlText w:val="%8."/>
      <w:lvlJc w:val="left"/>
      <w:pPr>
        <w:ind w:left="5760" w:hanging="360"/>
      </w:pPr>
    </w:lvl>
    <w:lvl w:ilvl="8" w:tplc="7AA6A172">
      <w:start w:val="1"/>
      <w:numFmt w:val="lowerRoman"/>
      <w:lvlText w:val="%9."/>
      <w:lvlJc w:val="right"/>
      <w:pPr>
        <w:ind w:left="6480" w:hanging="180"/>
      </w:pPr>
    </w:lvl>
  </w:abstractNum>
  <w:abstractNum w:abstractNumId="2" w15:restartNumberingAfterBreak="0">
    <w:nsid w:val="0C6D50F7"/>
    <w:multiLevelType w:val="hybridMultilevel"/>
    <w:tmpl w:val="C630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9581"/>
    <w:multiLevelType w:val="hybridMultilevel"/>
    <w:tmpl w:val="965E2768"/>
    <w:lvl w:ilvl="0" w:tplc="0E64909A">
      <w:start w:val="22"/>
      <w:numFmt w:val="decimal"/>
      <w:lvlText w:val="%1."/>
      <w:lvlJc w:val="left"/>
      <w:pPr>
        <w:ind w:left="720" w:hanging="360"/>
      </w:pPr>
    </w:lvl>
    <w:lvl w:ilvl="1" w:tplc="F796C2F6">
      <w:start w:val="1"/>
      <w:numFmt w:val="lowerLetter"/>
      <w:lvlText w:val="%2."/>
      <w:lvlJc w:val="left"/>
      <w:pPr>
        <w:ind w:left="1440" w:hanging="360"/>
      </w:pPr>
    </w:lvl>
    <w:lvl w:ilvl="2" w:tplc="CB424F6E">
      <w:start w:val="1"/>
      <w:numFmt w:val="lowerRoman"/>
      <w:lvlText w:val="%3."/>
      <w:lvlJc w:val="right"/>
      <w:pPr>
        <w:ind w:left="2160" w:hanging="180"/>
      </w:pPr>
    </w:lvl>
    <w:lvl w:ilvl="3" w:tplc="B5E0ED7E">
      <w:start w:val="1"/>
      <w:numFmt w:val="decimal"/>
      <w:lvlText w:val="%4."/>
      <w:lvlJc w:val="left"/>
      <w:pPr>
        <w:ind w:left="2880" w:hanging="360"/>
      </w:pPr>
    </w:lvl>
    <w:lvl w:ilvl="4" w:tplc="9BE08694">
      <w:start w:val="1"/>
      <w:numFmt w:val="lowerLetter"/>
      <w:lvlText w:val="%5."/>
      <w:lvlJc w:val="left"/>
      <w:pPr>
        <w:ind w:left="3600" w:hanging="360"/>
      </w:pPr>
    </w:lvl>
    <w:lvl w:ilvl="5" w:tplc="7A28D046">
      <w:start w:val="1"/>
      <w:numFmt w:val="lowerRoman"/>
      <w:lvlText w:val="%6."/>
      <w:lvlJc w:val="right"/>
      <w:pPr>
        <w:ind w:left="4320" w:hanging="180"/>
      </w:pPr>
    </w:lvl>
    <w:lvl w:ilvl="6" w:tplc="A4F00962">
      <w:start w:val="1"/>
      <w:numFmt w:val="decimal"/>
      <w:lvlText w:val="%7."/>
      <w:lvlJc w:val="left"/>
      <w:pPr>
        <w:ind w:left="5040" w:hanging="360"/>
      </w:pPr>
    </w:lvl>
    <w:lvl w:ilvl="7" w:tplc="5D108AE6">
      <w:start w:val="1"/>
      <w:numFmt w:val="lowerLetter"/>
      <w:lvlText w:val="%8."/>
      <w:lvlJc w:val="left"/>
      <w:pPr>
        <w:ind w:left="5760" w:hanging="360"/>
      </w:pPr>
    </w:lvl>
    <w:lvl w:ilvl="8" w:tplc="2562AE8C">
      <w:start w:val="1"/>
      <w:numFmt w:val="lowerRoman"/>
      <w:lvlText w:val="%9."/>
      <w:lvlJc w:val="right"/>
      <w:pPr>
        <w:ind w:left="6480" w:hanging="180"/>
      </w:pPr>
    </w:lvl>
  </w:abstractNum>
  <w:abstractNum w:abstractNumId="4" w15:restartNumberingAfterBreak="0">
    <w:nsid w:val="0E5BE55D"/>
    <w:multiLevelType w:val="hybridMultilevel"/>
    <w:tmpl w:val="8ED4FE56"/>
    <w:lvl w:ilvl="0" w:tplc="3D22A63E">
      <w:start w:val="17"/>
      <w:numFmt w:val="decimal"/>
      <w:lvlText w:val="%1."/>
      <w:lvlJc w:val="left"/>
      <w:pPr>
        <w:ind w:left="720" w:hanging="360"/>
      </w:pPr>
    </w:lvl>
    <w:lvl w:ilvl="1" w:tplc="40F43152">
      <w:start w:val="1"/>
      <w:numFmt w:val="lowerLetter"/>
      <w:lvlText w:val="%2."/>
      <w:lvlJc w:val="left"/>
      <w:pPr>
        <w:ind w:left="1440" w:hanging="360"/>
      </w:pPr>
    </w:lvl>
    <w:lvl w:ilvl="2" w:tplc="7832A968">
      <w:start w:val="1"/>
      <w:numFmt w:val="lowerRoman"/>
      <w:lvlText w:val="%3."/>
      <w:lvlJc w:val="right"/>
      <w:pPr>
        <w:ind w:left="2160" w:hanging="180"/>
      </w:pPr>
    </w:lvl>
    <w:lvl w:ilvl="3" w:tplc="8CFAE6E4">
      <w:start w:val="1"/>
      <w:numFmt w:val="decimal"/>
      <w:lvlText w:val="%4."/>
      <w:lvlJc w:val="left"/>
      <w:pPr>
        <w:ind w:left="2880" w:hanging="360"/>
      </w:pPr>
    </w:lvl>
    <w:lvl w:ilvl="4" w:tplc="42A2D3A2">
      <w:start w:val="1"/>
      <w:numFmt w:val="lowerLetter"/>
      <w:lvlText w:val="%5."/>
      <w:lvlJc w:val="left"/>
      <w:pPr>
        <w:ind w:left="3600" w:hanging="360"/>
      </w:pPr>
    </w:lvl>
    <w:lvl w:ilvl="5" w:tplc="9DDC7B26">
      <w:start w:val="1"/>
      <w:numFmt w:val="lowerRoman"/>
      <w:lvlText w:val="%6."/>
      <w:lvlJc w:val="right"/>
      <w:pPr>
        <w:ind w:left="4320" w:hanging="180"/>
      </w:pPr>
    </w:lvl>
    <w:lvl w:ilvl="6" w:tplc="D250BE28">
      <w:start w:val="1"/>
      <w:numFmt w:val="decimal"/>
      <w:lvlText w:val="%7."/>
      <w:lvlJc w:val="left"/>
      <w:pPr>
        <w:ind w:left="5040" w:hanging="360"/>
      </w:pPr>
    </w:lvl>
    <w:lvl w:ilvl="7" w:tplc="B21A2EAA">
      <w:start w:val="1"/>
      <w:numFmt w:val="lowerLetter"/>
      <w:lvlText w:val="%8."/>
      <w:lvlJc w:val="left"/>
      <w:pPr>
        <w:ind w:left="5760" w:hanging="360"/>
      </w:pPr>
    </w:lvl>
    <w:lvl w:ilvl="8" w:tplc="AEF21F62">
      <w:start w:val="1"/>
      <w:numFmt w:val="lowerRoman"/>
      <w:lvlText w:val="%9."/>
      <w:lvlJc w:val="right"/>
      <w:pPr>
        <w:ind w:left="6480" w:hanging="180"/>
      </w:pPr>
    </w:lvl>
  </w:abstractNum>
  <w:abstractNum w:abstractNumId="5" w15:restartNumberingAfterBreak="0">
    <w:nsid w:val="2B5E6037"/>
    <w:multiLevelType w:val="hybridMultilevel"/>
    <w:tmpl w:val="D374A6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439B4"/>
    <w:multiLevelType w:val="hybridMultilevel"/>
    <w:tmpl w:val="C7742D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F7F57"/>
    <w:multiLevelType w:val="hybridMultilevel"/>
    <w:tmpl w:val="0FEE80E4"/>
    <w:lvl w:ilvl="0" w:tplc="50B46F54">
      <w:start w:val="7"/>
      <w:numFmt w:val="decimal"/>
      <w:lvlText w:val="%1."/>
      <w:lvlJc w:val="left"/>
      <w:pPr>
        <w:ind w:left="720" w:hanging="360"/>
      </w:pPr>
    </w:lvl>
    <w:lvl w:ilvl="1" w:tplc="73C00BCC">
      <w:start w:val="1"/>
      <w:numFmt w:val="lowerLetter"/>
      <w:lvlText w:val="%2."/>
      <w:lvlJc w:val="left"/>
      <w:pPr>
        <w:ind w:left="1440" w:hanging="360"/>
      </w:pPr>
    </w:lvl>
    <w:lvl w:ilvl="2" w:tplc="08AC1FCE">
      <w:start w:val="1"/>
      <w:numFmt w:val="lowerRoman"/>
      <w:lvlText w:val="%3."/>
      <w:lvlJc w:val="right"/>
      <w:pPr>
        <w:ind w:left="2160" w:hanging="180"/>
      </w:pPr>
    </w:lvl>
    <w:lvl w:ilvl="3" w:tplc="A7CA61B6">
      <w:start w:val="1"/>
      <w:numFmt w:val="decimal"/>
      <w:lvlText w:val="%4."/>
      <w:lvlJc w:val="left"/>
      <w:pPr>
        <w:ind w:left="2880" w:hanging="360"/>
      </w:pPr>
    </w:lvl>
    <w:lvl w:ilvl="4" w:tplc="E022322A">
      <w:start w:val="1"/>
      <w:numFmt w:val="lowerLetter"/>
      <w:lvlText w:val="%5."/>
      <w:lvlJc w:val="left"/>
      <w:pPr>
        <w:ind w:left="3600" w:hanging="360"/>
      </w:pPr>
    </w:lvl>
    <w:lvl w:ilvl="5" w:tplc="EBF813F0">
      <w:start w:val="1"/>
      <w:numFmt w:val="lowerRoman"/>
      <w:lvlText w:val="%6."/>
      <w:lvlJc w:val="right"/>
      <w:pPr>
        <w:ind w:left="4320" w:hanging="180"/>
      </w:pPr>
    </w:lvl>
    <w:lvl w:ilvl="6" w:tplc="4BEC286E">
      <w:start w:val="1"/>
      <w:numFmt w:val="decimal"/>
      <w:lvlText w:val="%7."/>
      <w:lvlJc w:val="left"/>
      <w:pPr>
        <w:ind w:left="5040" w:hanging="360"/>
      </w:pPr>
    </w:lvl>
    <w:lvl w:ilvl="7" w:tplc="56CEA64A">
      <w:start w:val="1"/>
      <w:numFmt w:val="lowerLetter"/>
      <w:lvlText w:val="%8."/>
      <w:lvlJc w:val="left"/>
      <w:pPr>
        <w:ind w:left="5760" w:hanging="360"/>
      </w:pPr>
    </w:lvl>
    <w:lvl w:ilvl="8" w:tplc="EB9C44CC">
      <w:start w:val="1"/>
      <w:numFmt w:val="lowerRoman"/>
      <w:lvlText w:val="%9."/>
      <w:lvlJc w:val="right"/>
      <w:pPr>
        <w:ind w:left="6480" w:hanging="180"/>
      </w:pPr>
    </w:lvl>
  </w:abstractNum>
  <w:abstractNum w:abstractNumId="8" w15:restartNumberingAfterBreak="0">
    <w:nsid w:val="5799481C"/>
    <w:multiLevelType w:val="hybridMultilevel"/>
    <w:tmpl w:val="2E7486E8"/>
    <w:lvl w:ilvl="0" w:tplc="08090019">
      <w:start w:val="1"/>
      <w:numFmt w:val="lowerLetter"/>
      <w:lvlText w:val="%1."/>
      <w:lvlJc w:val="left"/>
      <w:pPr>
        <w:ind w:left="1418"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16A35"/>
    <w:multiLevelType w:val="hybridMultilevel"/>
    <w:tmpl w:val="80A22584"/>
    <w:lvl w:ilvl="0" w:tplc="901CEBEE">
      <w:start w:val="1"/>
      <w:numFmt w:val="bullet"/>
      <w:lvlText w:val="-"/>
      <w:lvlJc w:val="left"/>
      <w:pPr>
        <w:ind w:left="1298" w:hanging="360"/>
      </w:pPr>
      <w:rPr>
        <w:rFonts w:ascii="Aptos" w:hAnsi="Apto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0" w15:restartNumberingAfterBreak="0">
    <w:nsid w:val="5A2C0C86"/>
    <w:multiLevelType w:val="hybridMultilevel"/>
    <w:tmpl w:val="F8CA11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88EA3B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E5C1B6"/>
    <w:multiLevelType w:val="hybridMultilevel"/>
    <w:tmpl w:val="490827E2"/>
    <w:lvl w:ilvl="0" w:tplc="85069CC2">
      <w:start w:val="1"/>
      <w:numFmt w:val="lowerLetter"/>
      <w:lvlText w:val="%1."/>
      <w:lvlJc w:val="left"/>
      <w:pPr>
        <w:ind w:left="720" w:hanging="360"/>
      </w:pPr>
    </w:lvl>
    <w:lvl w:ilvl="1" w:tplc="2A405E82">
      <w:start w:val="1"/>
      <w:numFmt w:val="lowerLetter"/>
      <w:lvlText w:val="%2."/>
      <w:lvlJc w:val="left"/>
      <w:pPr>
        <w:ind w:left="1440" w:hanging="360"/>
      </w:pPr>
    </w:lvl>
    <w:lvl w:ilvl="2" w:tplc="40600FD8">
      <w:start w:val="1"/>
      <w:numFmt w:val="lowerRoman"/>
      <w:lvlText w:val="%3."/>
      <w:lvlJc w:val="right"/>
      <w:pPr>
        <w:ind w:left="2160" w:hanging="180"/>
      </w:pPr>
    </w:lvl>
    <w:lvl w:ilvl="3" w:tplc="2F80C81C">
      <w:start w:val="1"/>
      <w:numFmt w:val="decimal"/>
      <w:lvlText w:val="%4."/>
      <w:lvlJc w:val="left"/>
      <w:pPr>
        <w:ind w:left="2880" w:hanging="360"/>
      </w:pPr>
    </w:lvl>
    <w:lvl w:ilvl="4" w:tplc="529C8646">
      <w:start w:val="1"/>
      <w:numFmt w:val="lowerLetter"/>
      <w:lvlText w:val="%5."/>
      <w:lvlJc w:val="left"/>
      <w:pPr>
        <w:ind w:left="3600" w:hanging="360"/>
      </w:pPr>
    </w:lvl>
    <w:lvl w:ilvl="5" w:tplc="989C22E0">
      <w:start w:val="1"/>
      <w:numFmt w:val="lowerRoman"/>
      <w:lvlText w:val="%6."/>
      <w:lvlJc w:val="right"/>
      <w:pPr>
        <w:ind w:left="4320" w:hanging="180"/>
      </w:pPr>
    </w:lvl>
    <w:lvl w:ilvl="6" w:tplc="4DE48222">
      <w:start w:val="1"/>
      <w:numFmt w:val="decimal"/>
      <w:lvlText w:val="%7."/>
      <w:lvlJc w:val="left"/>
      <w:pPr>
        <w:ind w:left="5040" w:hanging="360"/>
      </w:pPr>
    </w:lvl>
    <w:lvl w:ilvl="7" w:tplc="EC2E4206">
      <w:start w:val="1"/>
      <w:numFmt w:val="lowerLetter"/>
      <w:lvlText w:val="%8."/>
      <w:lvlJc w:val="left"/>
      <w:pPr>
        <w:ind w:left="5760" w:hanging="360"/>
      </w:pPr>
    </w:lvl>
    <w:lvl w:ilvl="8" w:tplc="3C527F92">
      <w:start w:val="1"/>
      <w:numFmt w:val="lowerRoman"/>
      <w:lvlText w:val="%9."/>
      <w:lvlJc w:val="right"/>
      <w:pPr>
        <w:ind w:left="6480" w:hanging="180"/>
      </w:pPr>
    </w:lvl>
  </w:abstractNum>
  <w:abstractNum w:abstractNumId="12" w15:restartNumberingAfterBreak="0">
    <w:nsid w:val="62E7B79C"/>
    <w:multiLevelType w:val="hybridMultilevel"/>
    <w:tmpl w:val="BEBA7E90"/>
    <w:lvl w:ilvl="0" w:tplc="D49288E8">
      <w:start w:val="11"/>
      <w:numFmt w:val="decimal"/>
      <w:lvlText w:val="%1."/>
      <w:lvlJc w:val="left"/>
      <w:pPr>
        <w:ind w:left="720" w:hanging="360"/>
      </w:pPr>
    </w:lvl>
    <w:lvl w:ilvl="1" w:tplc="BD527BF8">
      <w:start w:val="1"/>
      <w:numFmt w:val="lowerLetter"/>
      <w:lvlText w:val="%2."/>
      <w:lvlJc w:val="left"/>
      <w:pPr>
        <w:ind w:left="1440" w:hanging="360"/>
      </w:pPr>
    </w:lvl>
    <w:lvl w:ilvl="2" w:tplc="381E567E">
      <w:start w:val="1"/>
      <w:numFmt w:val="lowerRoman"/>
      <w:lvlText w:val="%3."/>
      <w:lvlJc w:val="right"/>
      <w:pPr>
        <w:ind w:left="2160" w:hanging="180"/>
      </w:pPr>
    </w:lvl>
    <w:lvl w:ilvl="3" w:tplc="BB38E14A">
      <w:start w:val="1"/>
      <w:numFmt w:val="decimal"/>
      <w:lvlText w:val="%4."/>
      <w:lvlJc w:val="left"/>
      <w:pPr>
        <w:ind w:left="2880" w:hanging="360"/>
      </w:pPr>
    </w:lvl>
    <w:lvl w:ilvl="4" w:tplc="4F109922">
      <w:start w:val="1"/>
      <w:numFmt w:val="lowerLetter"/>
      <w:lvlText w:val="%5."/>
      <w:lvlJc w:val="left"/>
      <w:pPr>
        <w:ind w:left="3600" w:hanging="360"/>
      </w:pPr>
    </w:lvl>
    <w:lvl w:ilvl="5" w:tplc="4894CF90">
      <w:start w:val="1"/>
      <w:numFmt w:val="lowerRoman"/>
      <w:lvlText w:val="%6."/>
      <w:lvlJc w:val="right"/>
      <w:pPr>
        <w:ind w:left="4320" w:hanging="180"/>
      </w:pPr>
    </w:lvl>
    <w:lvl w:ilvl="6" w:tplc="44E2EEFE">
      <w:start w:val="1"/>
      <w:numFmt w:val="decimal"/>
      <w:lvlText w:val="%7."/>
      <w:lvlJc w:val="left"/>
      <w:pPr>
        <w:ind w:left="5040" w:hanging="360"/>
      </w:pPr>
    </w:lvl>
    <w:lvl w:ilvl="7" w:tplc="19345F78">
      <w:start w:val="1"/>
      <w:numFmt w:val="lowerLetter"/>
      <w:lvlText w:val="%8."/>
      <w:lvlJc w:val="left"/>
      <w:pPr>
        <w:ind w:left="5760" w:hanging="360"/>
      </w:pPr>
    </w:lvl>
    <w:lvl w:ilvl="8" w:tplc="1920594A">
      <w:start w:val="1"/>
      <w:numFmt w:val="lowerRoman"/>
      <w:lvlText w:val="%9."/>
      <w:lvlJc w:val="right"/>
      <w:pPr>
        <w:ind w:left="6480" w:hanging="180"/>
      </w:pPr>
    </w:lvl>
  </w:abstractNum>
  <w:abstractNum w:abstractNumId="13" w15:restartNumberingAfterBreak="0">
    <w:nsid w:val="6D2EA0EA"/>
    <w:multiLevelType w:val="hybridMultilevel"/>
    <w:tmpl w:val="25CA074A"/>
    <w:lvl w:ilvl="0" w:tplc="0804C27A">
      <w:start w:val="19"/>
      <w:numFmt w:val="decimal"/>
      <w:lvlText w:val="%1."/>
      <w:lvlJc w:val="left"/>
      <w:pPr>
        <w:ind w:left="720" w:hanging="360"/>
      </w:pPr>
    </w:lvl>
    <w:lvl w:ilvl="1" w:tplc="4ABA49BE">
      <w:start w:val="1"/>
      <w:numFmt w:val="lowerLetter"/>
      <w:lvlText w:val="%2."/>
      <w:lvlJc w:val="left"/>
      <w:pPr>
        <w:ind w:left="1440" w:hanging="360"/>
      </w:pPr>
    </w:lvl>
    <w:lvl w:ilvl="2" w:tplc="9664EF72">
      <w:start w:val="1"/>
      <w:numFmt w:val="lowerRoman"/>
      <w:lvlText w:val="%3."/>
      <w:lvlJc w:val="right"/>
      <w:pPr>
        <w:ind w:left="2160" w:hanging="180"/>
      </w:pPr>
    </w:lvl>
    <w:lvl w:ilvl="3" w:tplc="7E7E4390">
      <w:start w:val="1"/>
      <w:numFmt w:val="decimal"/>
      <w:lvlText w:val="%4."/>
      <w:lvlJc w:val="left"/>
      <w:pPr>
        <w:ind w:left="2880" w:hanging="360"/>
      </w:pPr>
    </w:lvl>
    <w:lvl w:ilvl="4" w:tplc="62748638">
      <w:start w:val="1"/>
      <w:numFmt w:val="lowerLetter"/>
      <w:lvlText w:val="%5."/>
      <w:lvlJc w:val="left"/>
      <w:pPr>
        <w:ind w:left="3600" w:hanging="360"/>
      </w:pPr>
    </w:lvl>
    <w:lvl w:ilvl="5" w:tplc="90605DAA">
      <w:start w:val="1"/>
      <w:numFmt w:val="lowerRoman"/>
      <w:lvlText w:val="%6."/>
      <w:lvlJc w:val="right"/>
      <w:pPr>
        <w:ind w:left="4320" w:hanging="180"/>
      </w:pPr>
    </w:lvl>
    <w:lvl w:ilvl="6" w:tplc="A8BA6FC0">
      <w:start w:val="1"/>
      <w:numFmt w:val="decimal"/>
      <w:lvlText w:val="%7."/>
      <w:lvlJc w:val="left"/>
      <w:pPr>
        <w:ind w:left="5040" w:hanging="360"/>
      </w:pPr>
    </w:lvl>
    <w:lvl w:ilvl="7" w:tplc="AC4C5EE4">
      <w:start w:val="1"/>
      <w:numFmt w:val="lowerLetter"/>
      <w:lvlText w:val="%8."/>
      <w:lvlJc w:val="left"/>
      <w:pPr>
        <w:ind w:left="5760" w:hanging="360"/>
      </w:pPr>
    </w:lvl>
    <w:lvl w:ilvl="8" w:tplc="BD84191C">
      <w:start w:val="1"/>
      <w:numFmt w:val="lowerRoman"/>
      <w:lvlText w:val="%9."/>
      <w:lvlJc w:val="right"/>
      <w:pPr>
        <w:ind w:left="6480" w:hanging="180"/>
      </w:pPr>
    </w:lvl>
  </w:abstractNum>
  <w:abstractNum w:abstractNumId="14" w15:restartNumberingAfterBreak="0">
    <w:nsid w:val="6DB74EB9"/>
    <w:multiLevelType w:val="hybridMultilevel"/>
    <w:tmpl w:val="CBDA0B40"/>
    <w:lvl w:ilvl="0" w:tplc="15385FB6">
      <w:start w:val="1"/>
      <w:numFmt w:val="lowerLetter"/>
      <w:lvlText w:val="%1."/>
      <w:lvlJc w:val="left"/>
      <w:pPr>
        <w:ind w:left="1998" w:hanging="360"/>
      </w:pPr>
      <w:rPr>
        <w:rFonts w:ascii="Arial" w:eastAsiaTheme="minorHAnsi" w:hAnsi="Arial" w:cs="Arial" w:hint="default"/>
      </w:rPr>
    </w:lvl>
    <w:lvl w:ilvl="1" w:tplc="08090019">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1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0C90F0A"/>
    <w:multiLevelType w:val="hybridMultilevel"/>
    <w:tmpl w:val="272661CC"/>
    <w:lvl w:ilvl="0" w:tplc="54C8CD62">
      <w:start w:val="1"/>
      <w:numFmt w:val="decimal"/>
      <w:lvlText w:val="%1."/>
      <w:lvlJc w:val="left"/>
      <w:pPr>
        <w:ind w:left="928" w:hanging="707"/>
        <w:jc w:val="right"/>
      </w:pPr>
      <w:rPr>
        <w:rFonts w:hint="default"/>
        <w:spacing w:val="-30"/>
        <w:w w:val="98"/>
      </w:rPr>
    </w:lvl>
    <w:lvl w:ilvl="1" w:tplc="D1E4AA56">
      <w:start w:val="1"/>
      <w:numFmt w:val="lowerRoman"/>
      <w:lvlText w:val="(%2)"/>
      <w:lvlJc w:val="left"/>
      <w:pPr>
        <w:ind w:left="1662" w:hanging="720"/>
      </w:pPr>
      <w:rPr>
        <w:rFonts w:ascii="Arial" w:eastAsia="Arial" w:hAnsi="Arial" w:cs="Arial" w:hint="default"/>
        <w:spacing w:val="-5"/>
        <w:w w:val="98"/>
        <w:sz w:val="24"/>
        <w:szCs w:val="24"/>
      </w:rPr>
    </w:lvl>
    <w:lvl w:ilvl="2" w:tplc="24ECF550">
      <w:numFmt w:val="bullet"/>
      <w:lvlText w:val="•"/>
      <w:lvlJc w:val="left"/>
      <w:pPr>
        <w:ind w:left="1640" w:hanging="720"/>
      </w:pPr>
      <w:rPr>
        <w:rFonts w:hint="default"/>
      </w:rPr>
    </w:lvl>
    <w:lvl w:ilvl="3" w:tplc="B64613EC">
      <w:numFmt w:val="bullet"/>
      <w:lvlText w:val="•"/>
      <w:lvlJc w:val="left"/>
      <w:pPr>
        <w:ind w:left="1660" w:hanging="720"/>
      </w:pPr>
      <w:rPr>
        <w:rFonts w:hint="default"/>
      </w:rPr>
    </w:lvl>
    <w:lvl w:ilvl="4" w:tplc="990844FE">
      <w:numFmt w:val="bullet"/>
      <w:lvlText w:val="•"/>
      <w:lvlJc w:val="left"/>
      <w:pPr>
        <w:ind w:left="2727" w:hanging="720"/>
      </w:pPr>
      <w:rPr>
        <w:rFonts w:hint="default"/>
      </w:rPr>
    </w:lvl>
    <w:lvl w:ilvl="5" w:tplc="54104294">
      <w:numFmt w:val="bullet"/>
      <w:lvlText w:val="•"/>
      <w:lvlJc w:val="left"/>
      <w:pPr>
        <w:ind w:left="3794" w:hanging="720"/>
      </w:pPr>
      <w:rPr>
        <w:rFonts w:hint="default"/>
      </w:rPr>
    </w:lvl>
    <w:lvl w:ilvl="6" w:tplc="737CD610">
      <w:numFmt w:val="bullet"/>
      <w:lvlText w:val="•"/>
      <w:lvlJc w:val="left"/>
      <w:pPr>
        <w:ind w:left="4861" w:hanging="720"/>
      </w:pPr>
      <w:rPr>
        <w:rFonts w:hint="default"/>
      </w:rPr>
    </w:lvl>
    <w:lvl w:ilvl="7" w:tplc="9D80A84C">
      <w:numFmt w:val="bullet"/>
      <w:lvlText w:val="•"/>
      <w:lvlJc w:val="left"/>
      <w:pPr>
        <w:ind w:left="5928" w:hanging="720"/>
      </w:pPr>
      <w:rPr>
        <w:rFonts w:hint="default"/>
      </w:rPr>
    </w:lvl>
    <w:lvl w:ilvl="8" w:tplc="F4B460E0">
      <w:numFmt w:val="bullet"/>
      <w:lvlText w:val="•"/>
      <w:lvlJc w:val="left"/>
      <w:pPr>
        <w:ind w:left="6995" w:hanging="720"/>
      </w:pPr>
      <w:rPr>
        <w:rFonts w:hint="default"/>
      </w:rPr>
    </w:lvl>
  </w:abstractNum>
  <w:abstractNum w:abstractNumId="17" w15:restartNumberingAfterBreak="0">
    <w:nsid w:val="7C1A3F0C"/>
    <w:multiLevelType w:val="hybridMultilevel"/>
    <w:tmpl w:val="D64E23C6"/>
    <w:lvl w:ilvl="0" w:tplc="024C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E1133C"/>
    <w:multiLevelType w:val="hybridMultilevel"/>
    <w:tmpl w:val="E038498C"/>
    <w:lvl w:ilvl="0" w:tplc="E8D24DEE">
      <w:start w:val="6"/>
      <w:numFmt w:val="decimal"/>
      <w:lvlText w:val="%1."/>
      <w:lvlJc w:val="left"/>
      <w:pPr>
        <w:ind w:left="720" w:hanging="360"/>
      </w:pPr>
    </w:lvl>
    <w:lvl w:ilvl="1" w:tplc="1FB0F672">
      <w:start w:val="1"/>
      <w:numFmt w:val="lowerLetter"/>
      <w:lvlText w:val="%2."/>
      <w:lvlJc w:val="left"/>
      <w:pPr>
        <w:ind w:left="1440" w:hanging="360"/>
      </w:pPr>
    </w:lvl>
    <w:lvl w:ilvl="2" w:tplc="1640D680">
      <w:start w:val="1"/>
      <w:numFmt w:val="lowerRoman"/>
      <w:lvlText w:val="%3."/>
      <w:lvlJc w:val="right"/>
      <w:pPr>
        <w:ind w:left="2160" w:hanging="180"/>
      </w:pPr>
    </w:lvl>
    <w:lvl w:ilvl="3" w:tplc="A5BEE680">
      <w:start w:val="1"/>
      <w:numFmt w:val="decimal"/>
      <w:lvlText w:val="%4."/>
      <w:lvlJc w:val="left"/>
      <w:pPr>
        <w:ind w:left="2880" w:hanging="360"/>
      </w:pPr>
    </w:lvl>
    <w:lvl w:ilvl="4" w:tplc="59F69080">
      <w:start w:val="1"/>
      <w:numFmt w:val="lowerLetter"/>
      <w:lvlText w:val="%5."/>
      <w:lvlJc w:val="left"/>
      <w:pPr>
        <w:ind w:left="3600" w:hanging="360"/>
      </w:pPr>
    </w:lvl>
    <w:lvl w:ilvl="5" w:tplc="21867A9C">
      <w:start w:val="1"/>
      <w:numFmt w:val="lowerRoman"/>
      <w:lvlText w:val="%6."/>
      <w:lvlJc w:val="right"/>
      <w:pPr>
        <w:ind w:left="4320" w:hanging="180"/>
      </w:pPr>
    </w:lvl>
    <w:lvl w:ilvl="6" w:tplc="23ACC3E0">
      <w:start w:val="1"/>
      <w:numFmt w:val="decimal"/>
      <w:lvlText w:val="%7."/>
      <w:lvlJc w:val="left"/>
      <w:pPr>
        <w:ind w:left="5040" w:hanging="360"/>
      </w:pPr>
    </w:lvl>
    <w:lvl w:ilvl="7" w:tplc="DF1E27E2">
      <w:start w:val="1"/>
      <w:numFmt w:val="lowerLetter"/>
      <w:lvlText w:val="%8."/>
      <w:lvlJc w:val="left"/>
      <w:pPr>
        <w:ind w:left="5760" w:hanging="360"/>
      </w:pPr>
    </w:lvl>
    <w:lvl w:ilvl="8" w:tplc="7F509E6E">
      <w:start w:val="1"/>
      <w:numFmt w:val="lowerRoman"/>
      <w:lvlText w:val="%9."/>
      <w:lvlJc w:val="right"/>
      <w:pPr>
        <w:ind w:left="6480" w:hanging="180"/>
      </w:pPr>
    </w:lvl>
  </w:abstractNum>
  <w:num w:numId="1" w16cid:durableId="996764483">
    <w:abstractNumId w:val="15"/>
  </w:num>
  <w:num w:numId="2" w16cid:durableId="763496289">
    <w:abstractNumId w:val="16"/>
  </w:num>
  <w:num w:numId="3" w16cid:durableId="1026717040">
    <w:abstractNumId w:val="10"/>
  </w:num>
  <w:num w:numId="4" w16cid:durableId="1084490676">
    <w:abstractNumId w:val="8"/>
  </w:num>
  <w:num w:numId="5" w16cid:durableId="1986468621">
    <w:abstractNumId w:val="6"/>
  </w:num>
  <w:num w:numId="6" w16cid:durableId="2001304151">
    <w:abstractNumId w:val="2"/>
  </w:num>
  <w:num w:numId="7" w16cid:durableId="2130514213">
    <w:abstractNumId w:val="5"/>
  </w:num>
  <w:num w:numId="8" w16cid:durableId="506752640">
    <w:abstractNumId w:val="14"/>
  </w:num>
  <w:num w:numId="9" w16cid:durableId="1905213860">
    <w:abstractNumId w:val="0"/>
  </w:num>
  <w:num w:numId="10" w16cid:durableId="2032953064">
    <w:abstractNumId w:val="3"/>
  </w:num>
  <w:num w:numId="11" w16cid:durableId="656962856">
    <w:abstractNumId w:val="13"/>
  </w:num>
  <w:num w:numId="12" w16cid:durableId="1208375306">
    <w:abstractNumId w:val="4"/>
  </w:num>
  <w:num w:numId="13" w16cid:durableId="498232923">
    <w:abstractNumId w:val="12"/>
  </w:num>
  <w:num w:numId="14" w16cid:durableId="1035230113">
    <w:abstractNumId w:val="7"/>
  </w:num>
  <w:num w:numId="15" w16cid:durableId="1045986154">
    <w:abstractNumId w:val="11"/>
  </w:num>
  <w:num w:numId="16" w16cid:durableId="978800083">
    <w:abstractNumId w:val="18"/>
  </w:num>
  <w:num w:numId="17" w16cid:durableId="1757020346">
    <w:abstractNumId w:val="1"/>
  </w:num>
  <w:num w:numId="18" w16cid:durableId="2138376014">
    <w:abstractNumId w:val="17"/>
  </w:num>
  <w:num w:numId="19" w16cid:durableId="1955746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26A6C"/>
    <w:rsid w:val="00050BC1"/>
    <w:rsid w:val="00053926"/>
    <w:rsid w:val="0005695B"/>
    <w:rsid w:val="00071212"/>
    <w:rsid w:val="000C0E1C"/>
    <w:rsid w:val="000E3D45"/>
    <w:rsid w:val="000F5B0A"/>
    <w:rsid w:val="00165A73"/>
    <w:rsid w:val="002235EB"/>
    <w:rsid w:val="00286D56"/>
    <w:rsid w:val="002A7B8F"/>
    <w:rsid w:val="0034712F"/>
    <w:rsid w:val="00397B1F"/>
    <w:rsid w:val="003E0F6F"/>
    <w:rsid w:val="003F657D"/>
    <w:rsid w:val="00442A36"/>
    <w:rsid w:val="00451CBC"/>
    <w:rsid w:val="004919E8"/>
    <w:rsid w:val="004E06C1"/>
    <w:rsid w:val="004E359C"/>
    <w:rsid w:val="004E5C1B"/>
    <w:rsid w:val="0050726B"/>
    <w:rsid w:val="005312F9"/>
    <w:rsid w:val="00560C93"/>
    <w:rsid w:val="0057009E"/>
    <w:rsid w:val="005E5B77"/>
    <w:rsid w:val="006661BD"/>
    <w:rsid w:val="00692394"/>
    <w:rsid w:val="006E5DBF"/>
    <w:rsid w:val="007022D6"/>
    <w:rsid w:val="00714D1C"/>
    <w:rsid w:val="00744300"/>
    <w:rsid w:val="00787A8D"/>
    <w:rsid w:val="007C0248"/>
    <w:rsid w:val="007D2352"/>
    <w:rsid w:val="007D2C1C"/>
    <w:rsid w:val="007D4A31"/>
    <w:rsid w:val="007E307A"/>
    <w:rsid w:val="007F1AAA"/>
    <w:rsid w:val="00860B92"/>
    <w:rsid w:val="00880881"/>
    <w:rsid w:val="00893753"/>
    <w:rsid w:val="008A4ABF"/>
    <w:rsid w:val="008B0402"/>
    <w:rsid w:val="008C01F1"/>
    <w:rsid w:val="00904617"/>
    <w:rsid w:val="009303A6"/>
    <w:rsid w:val="00935809"/>
    <w:rsid w:val="009446A8"/>
    <w:rsid w:val="009613E5"/>
    <w:rsid w:val="00AD0BD5"/>
    <w:rsid w:val="00B41588"/>
    <w:rsid w:val="00B644AD"/>
    <w:rsid w:val="00B94B95"/>
    <w:rsid w:val="00BA387B"/>
    <w:rsid w:val="00BB72B9"/>
    <w:rsid w:val="00BE633D"/>
    <w:rsid w:val="00C84824"/>
    <w:rsid w:val="00C94B00"/>
    <w:rsid w:val="00CA2FB5"/>
    <w:rsid w:val="00CB25BE"/>
    <w:rsid w:val="00CC59FB"/>
    <w:rsid w:val="00CF5996"/>
    <w:rsid w:val="00D27F06"/>
    <w:rsid w:val="00D95EA3"/>
    <w:rsid w:val="00E5238D"/>
    <w:rsid w:val="00E76AFA"/>
    <w:rsid w:val="00EB08BB"/>
    <w:rsid w:val="00ED494E"/>
    <w:rsid w:val="00EE1556"/>
    <w:rsid w:val="00F65D2D"/>
    <w:rsid w:val="00FB1A66"/>
    <w:rsid w:val="11C9B50F"/>
    <w:rsid w:val="11E1AF39"/>
    <w:rsid w:val="14909EA7"/>
    <w:rsid w:val="1770608F"/>
    <w:rsid w:val="1E653FCC"/>
    <w:rsid w:val="1E8A5C90"/>
    <w:rsid w:val="27859153"/>
    <w:rsid w:val="44DA9F40"/>
    <w:rsid w:val="46C470F5"/>
    <w:rsid w:val="53CC9A41"/>
    <w:rsid w:val="54322A39"/>
    <w:rsid w:val="5E1A4EFD"/>
    <w:rsid w:val="5FC28CC4"/>
    <w:rsid w:val="668BFB38"/>
    <w:rsid w:val="66AF9095"/>
    <w:rsid w:val="6AC97AB5"/>
    <w:rsid w:val="72081896"/>
    <w:rsid w:val="75CB6BD2"/>
    <w:rsid w:val="777F5DD7"/>
    <w:rsid w:val="7BBA4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6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E76AFA"/>
    <w:rPr>
      <w:color w:val="0563C1" w:themeColor="hyperlink"/>
      <w:u w:val="single"/>
    </w:rPr>
  </w:style>
  <w:style w:type="paragraph" w:styleId="BodyText">
    <w:name w:val="Body Text"/>
    <w:basedOn w:val="Normal"/>
    <w:link w:val="BodyTextChar"/>
    <w:uiPriority w:val="1"/>
    <w:qFormat/>
    <w:rsid w:val="00E76AF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76AFA"/>
    <w:rPr>
      <w:rFonts w:ascii="Arial" w:eastAsia="Arial" w:hAnsi="Arial" w:cs="Arial"/>
      <w:sz w:val="24"/>
      <w:szCs w:val="24"/>
      <w:lang w:val="en-US"/>
    </w:rPr>
  </w:style>
  <w:style w:type="paragraph" w:styleId="ListParagraph">
    <w:name w:val="List Paragraph"/>
    <w:basedOn w:val="Normal"/>
    <w:uiPriority w:val="1"/>
    <w:qFormat/>
    <w:rsid w:val="00E76AFA"/>
    <w:pPr>
      <w:widowControl w:val="0"/>
      <w:autoSpaceDE w:val="0"/>
      <w:autoSpaceDN w:val="0"/>
      <w:spacing w:after="0" w:line="240" w:lineRule="auto"/>
      <w:ind w:left="908" w:hanging="706"/>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registry/academichandbook/Pages/Ah1_05.aspx" TargetMode="External"/><Relationship Id="rId13" Type="http://schemas.openxmlformats.org/officeDocument/2006/relationships/hyperlink" Target="mailto:MitCircsCSESP@cardiffmet.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SM-UG-MSc@cardiffmet.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CircsCSSHS@cardiffmet.ac.uk" TargetMode="External"/><Relationship Id="rId5" Type="http://schemas.openxmlformats.org/officeDocument/2006/relationships/footnotes" Target="footnotes.xml"/><Relationship Id="rId15" Type="http://schemas.openxmlformats.org/officeDocument/2006/relationships/hyperlink" Target="mailto:cstadministration@cardiffmet.ac.uk" TargetMode="External"/><Relationship Id="rId10" Type="http://schemas.openxmlformats.org/officeDocument/2006/relationships/hyperlink" Target="http://www.halo.cardiffmet.ac.uk/portal" TargetMode="External"/><Relationship Id="rId4" Type="http://schemas.openxmlformats.org/officeDocument/2006/relationships/webSettings" Target="webSettings.xml"/><Relationship Id="rId9" Type="http://schemas.openxmlformats.org/officeDocument/2006/relationships/hyperlink" Target="https://www.cardiffmet.ac.uk/media/cardiff-met/content-assets/english-documents/Academic-Handbook---AH1_04_01.docx" TargetMode="External"/><Relationship Id="rId14" Type="http://schemas.openxmlformats.org/officeDocument/2006/relationships/hyperlink" Target="mailto:CSADadmin@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2025-10-06T10:15:00Z</dcterms:created>
  <dcterms:modified xsi:type="dcterms:W3CDTF">2025-10-07T08:22:00Z</dcterms:modified>
</cp:coreProperties>
</file>