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8AE6" w14:textId="39A4952C" w:rsidR="0009597B" w:rsidRDefault="00D9301C" w:rsidP="00B86E39">
      <w:pPr>
        <w:pStyle w:val="Title"/>
        <w:jc w:val="center"/>
      </w:pPr>
      <w:r w:rsidRPr="00F62854">
        <w:rPr>
          <w:rFonts w:ascii="Arial" w:hAnsi="Arial" w:cs="Arial"/>
          <w:noProof/>
          <w:sz w:val="24"/>
          <w:szCs w:val="24"/>
          <w:lang w:val="en"/>
        </w:rPr>
        <w:drawing>
          <wp:inline distT="0" distB="0" distL="0" distR="0" wp14:anchorId="02EBEC1D" wp14:editId="2FCDD7E6">
            <wp:extent cx="3167380" cy="929005"/>
            <wp:effectExtent l="0" t="0" r="0" b="4445"/>
            <wp:docPr id="2" name="Picture 2" descr="C:\Users\Standalone\AppData\Local\Microsoft\Windows\INetCache\Content.MSO\E2991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ndalone\AppData\Local\Microsoft\Windows\INetCache\Content.MSO\E2991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79FB8E8D" w14:textId="77777777" w:rsidR="00A05E79" w:rsidRPr="00A05E79" w:rsidRDefault="00A05E79" w:rsidP="00A05E79"/>
    <w:p w14:paraId="6B3D9D8C" w14:textId="77777777" w:rsidR="003C3109" w:rsidRDefault="003C3109" w:rsidP="003C3109">
      <w:pPr>
        <w:pStyle w:val="Title"/>
        <w:jc w:val="center"/>
      </w:pPr>
      <w:bookmarkStart w:id="0" w:name="_Toc75950285"/>
      <w:bookmarkStart w:id="1" w:name="_Toc75950366"/>
      <w:bookmarkStart w:id="2" w:name="_Toc77936657"/>
      <w:bookmarkStart w:id="3" w:name="_Toc73711327"/>
      <w:bookmarkStart w:id="4" w:name="_Toc73711702"/>
      <w:bookmarkStart w:id="5" w:name="_Toc73712006"/>
      <w:r>
        <w:t>7.6</w:t>
      </w:r>
    </w:p>
    <w:p w14:paraId="35D2076F" w14:textId="77777777" w:rsidR="003C3109" w:rsidRDefault="003C3109" w:rsidP="003C3109">
      <w:pPr>
        <w:pStyle w:val="Title"/>
        <w:jc w:val="center"/>
      </w:pPr>
      <w:r>
        <w:t>APPEALS PROCEDURE – POSTGRADUATE RESEARCH DEGREES</w:t>
      </w:r>
    </w:p>
    <w:p w14:paraId="557405AA" w14:textId="77777777" w:rsidR="003C3109" w:rsidRPr="00E62C64" w:rsidRDefault="003C3109" w:rsidP="003C3109">
      <w:pPr>
        <w:pStyle w:val="Heading1"/>
        <w:numPr>
          <w:ilvl w:val="0"/>
          <w:numId w:val="0"/>
        </w:numPr>
        <w:ind w:left="432" w:hanging="432"/>
      </w:pPr>
      <w:bookmarkStart w:id="6" w:name="_Toc168317342"/>
      <w:r>
        <w:t>Key Details</w:t>
      </w:r>
      <w:bookmarkEnd w:id="0"/>
      <w:bookmarkEnd w:id="1"/>
      <w:bookmarkEnd w:id="2"/>
      <w:bookmarkEnd w:id="6"/>
    </w:p>
    <w:tbl>
      <w:tblPr>
        <w:tblStyle w:val="TableGrid"/>
        <w:tblW w:w="0" w:type="auto"/>
        <w:tblLook w:val="04A0" w:firstRow="1" w:lastRow="0" w:firstColumn="1" w:lastColumn="0" w:noHBand="0" w:noVBand="1"/>
      </w:tblPr>
      <w:tblGrid>
        <w:gridCol w:w="4508"/>
        <w:gridCol w:w="4508"/>
      </w:tblGrid>
      <w:tr w:rsidR="003C3109" w:rsidRPr="00424E11" w14:paraId="44B1EB5D" w14:textId="77777777" w:rsidTr="00BD5A77">
        <w:trPr>
          <w:trHeight w:val="340"/>
        </w:trPr>
        <w:tc>
          <w:tcPr>
            <w:tcW w:w="4508" w:type="dxa"/>
            <w:vAlign w:val="center"/>
          </w:tcPr>
          <w:p w14:paraId="5F0A2A84" w14:textId="77777777" w:rsidR="003C3109" w:rsidRPr="00FE2C3C" w:rsidRDefault="003C3109" w:rsidP="00BD5A77">
            <w:pPr>
              <w:rPr>
                <w:rStyle w:val="SubtleEmphasis"/>
                <w:b/>
                <w:bCs/>
              </w:rPr>
            </w:pPr>
            <w:r w:rsidRPr="00FE2C3C">
              <w:rPr>
                <w:rStyle w:val="SubtleEmphasis"/>
                <w:b/>
                <w:bCs/>
              </w:rPr>
              <w:t>POLICY TITLE</w:t>
            </w:r>
          </w:p>
        </w:tc>
        <w:tc>
          <w:tcPr>
            <w:tcW w:w="4508" w:type="dxa"/>
            <w:vAlign w:val="center"/>
          </w:tcPr>
          <w:p w14:paraId="240DE90A" w14:textId="77777777" w:rsidR="003C3109" w:rsidRPr="00D9301C" w:rsidRDefault="003C3109" w:rsidP="00BD5A77">
            <w:pPr>
              <w:rPr>
                <w:rStyle w:val="SubtleEmphasis"/>
              </w:rPr>
            </w:pPr>
            <w:r>
              <w:rPr>
                <w:rStyle w:val="SubtleEmphasis"/>
              </w:rPr>
              <w:t>Appeals Procedure – Postgraduate Research Degrees</w:t>
            </w:r>
          </w:p>
        </w:tc>
      </w:tr>
      <w:tr w:rsidR="003C3109" w:rsidRPr="00424E11" w14:paraId="5D2CD868" w14:textId="77777777" w:rsidTr="00BD5A77">
        <w:trPr>
          <w:trHeight w:val="340"/>
        </w:trPr>
        <w:tc>
          <w:tcPr>
            <w:tcW w:w="4508" w:type="dxa"/>
            <w:vAlign w:val="center"/>
          </w:tcPr>
          <w:p w14:paraId="789F3A9B" w14:textId="77777777" w:rsidR="003C3109" w:rsidRPr="00FE2C3C" w:rsidRDefault="003C3109" w:rsidP="00BD5A77">
            <w:pPr>
              <w:rPr>
                <w:rStyle w:val="SubtleEmphasis"/>
                <w:b/>
                <w:bCs/>
              </w:rPr>
            </w:pPr>
            <w:r w:rsidRPr="00FE2C3C">
              <w:rPr>
                <w:rStyle w:val="SubtleEmphasis"/>
                <w:b/>
                <w:bCs/>
              </w:rPr>
              <w:t>DATE APPROVED</w:t>
            </w:r>
          </w:p>
        </w:tc>
        <w:tc>
          <w:tcPr>
            <w:tcW w:w="4508" w:type="dxa"/>
            <w:vAlign w:val="center"/>
          </w:tcPr>
          <w:p w14:paraId="0F9834C3" w14:textId="77777777" w:rsidR="003C3109" w:rsidRPr="00D9301C" w:rsidRDefault="003C3109" w:rsidP="00BD5A77">
            <w:pPr>
              <w:rPr>
                <w:rStyle w:val="SubtleEmphasis"/>
              </w:rPr>
            </w:pPr>
            <w:r>
              <w:rPr>
                <w:rStyle w:val="SubtleEmphasis"/>
              </w:rPr>
              <w:t>Sep 2012</w:t>
            </w:r>
          </w:p>
        </w:tc>
      </w:tr>
      <w:tr w:rsidR="003C3109" w:rsidRPr="00424E11" w14:paraId="0DC16B16" w14:textId="77777777" w:rsidTr="00BD5A77">
        <w:trPr>
          <w:trHeight w:val="340"/>
        </w:trPr>
        <w:tc>
          <w:tcPr>
            <w:tcW w:w="4508" w:type="dxa"/>
            <w:vAlign w:val="center"/>
          </w:tcPr>
          <w:p w14:paraId="1C76F722" w14:textId="77777777" w:rsidR="003C3109" w:rsidRPr="00FE2C3C" w:rsidRDefault="003C3109" w:rsidP="00BD5A77">
            <w:pPr>
              <w:rPr>
                <w:rStyle w:val="SubtleEmphasis"/>
                <w:b/>
                <w:bCs/>
              </w:rPr>
            </w:pPr>
            <w:r w:rsidRPr="00FE2C3C">
              <w:rPr>
                <w:rStyle w:val="SubtleEmphasis"/>
                <w:b/>
                <w:bCs/>
              </w:rPr>
              <w:t>APPROVING BODY</w:t>
            </w:r>
          </w:p>
        </w:tc>
        <w:tc>
          <w:tcPr>
            <w:tcW w:w="4508" w:type="dxa"/>
            <w:vAlign w:val="center"/>
          </w:tcPr>
          <w:p w14:paraId="1AF395AA" w14:textId="77777777" w:rsidR="003C3109" w:rsidRPr="00D9301C" w:rsidRDefault="003C3109" w:rsidP="00BD5A77">
            <w:pPr>
              <w:rPr>
                <w:rStyle w:val="SubtleEmphasis"/>
              </w:rPr>
            </w:pPr>
            <w:r>
              <w:rPr>
                <w:rStyle w:val="SubtleEmphasis"/>
              </w:rPr>
              <w:t>Academic Board via AQSC</w:t>
            </w:r>
          </w:p>
        </w:tc>
      </w:tr>
      <w:tr w:rsidR="003C3109" w:rsidRPr="00424E11" w14:paraId="614B40D6" w14:textId="77777777" w:rsidTr="00BD5A77">
        <w:trPr>
          <w:trHeight w:val="340"/>
        </w:trPr>
        <w:tc>
          <w:tcPr>
            <w:tcW w:w="4508" w:type="dxa"/>
            <w:vAlign w:val="center"/>
          </w:tcPr>
          <w:p w14:paraId="5035D3AD" w14:textId="77777777" w:rsidR="003C3109" w:rsidRPr="00FE2C3C" w:rsidRDefault="003C3109" w:rsidP="00BD5A77">
            <w:pPr>
              <w:rPr>
                <w:rStyle w:val="SubtleEmphasis"/>
                <w:b/>
                <w:bCs/>
              </w:rPr>
            </w:pPr>
            <w:r w:rsidRPr="00FE2C3C">
              <w:rPr>
                <w:rStyle w:val="SubtleEmphasis"/>
                <w:b/>
                <w:bCs/>
              </w:rPr>
              <w:t>VERSION</w:t>
            </w:r>
          </w:p>
        </w:tc>
        <w:tc>
          <w:tcPr>
            <w:tcW w:w="4508" w:type="dxa"/>
            <w:vAlign w:val="center"/>
          </w:tcPr>
          <w:p w14:paraId="3C0685E4" w14:textId="77777777" w:rsidR="003C3109" w:rsidRPr="00D9301C" w:rsidRDefault="003C3109" w:rsidP="00BD5A77">
            <w:pPr>
              <w:rPr>
                <w:rStyle w:val="SubtleEmphasis"/>
              </w:rPr>
            </w:pPr>
            <w:r>
              <w:rPr>
                <w:rStyle w:val="SubtleEmphasis"/>
              </w:rPr>
              <w:t>4</w:t>
            </w:r>
          </w:p>
        </w:tc>
      </w:tr>
      <w:tr w:rsidR="003C3109" w:rsidRPr="00424E11" w14:paraId="22A56793" w14:textId="77777777" w:rsidTr="00BD5A77">
        <w:trPr>
          <w:trHeight w:val="340"/>
        </w:trPr>
        <w:tc>
          <w:tcPr>
            <w:tcW w:w="4508" w:type="dxa"/>
            <w:vAlign w:val="center"/>
          </w:tcPr>
          <w:p w14:paraId="1F0336BF" w14:textId="77777777" w:rsidR="003C3109" w:rsidRPr="00FE2C3C" w:rsidRDefault="003C3109" w:rsidP="00BD5A77">
            <w:pPr>
              <w:rPr>
                <w:rStyle w:val="SubtleEmphasis"/>
                <w:b/>
                <w:bCs/>
              </w:rPr>
            </w:pPr>
            <w:r w:rsidRPr="00FE2C3C">
              <w:rPr>
                <w:rStyle w:val="SubtleEmphasis"/>
                <w:b/>
                <w:bCs/>
              </w:rPr>
              <w:t>PREVIOUS REVIEW DATES</w:t>
            </w:r>
          </w:p>
        </w:tc>
        <w:tc>
          <w:tcPr>
            <w:tcW w:w="4508" w:type="dxa"/>
            <w:vAlign w:val="center"/>
          </w:tcPr>
          <w:p w14:paraId="59581188" w14:textId="31B62FE7" w:rsidR="003C3109" w:rsidRPr="00D9301C" w:rsidRDefault="003C3109" w:rsidP="00BD5A77">
            <w:pPr>
              <w:rPr>
                <w:rStyle w:val="SubtleEmphasis"/>
              </w:rPr>
            </w:pPr>
            <w:r>
              <w:rPr>
                <w:rStyle w:val="SubtleEmphasis"/>
              </w:rPr>
              <w:t xml:space="preserve">Apr 2014, Oct 2016, May 2021, </w:t>
            </w:r>
            <w:r w:rsidR="00BA0D8D">
              <w:rPr>
                <w:rStyle w:val="SubtleEmphasis"/>
              </w:rPr>
              <w:t>Jun 2024</w:t>
            </w:r>
          </w:p>
        </w:tc>
      </w:tr>
      <w:tr w:rsidR="003C3109" w:rsidRPr="00424E11" w14:paraId="7F17AB01" w14:textId="77777777" w:rsidTr="00BD5A77">
        <w:trPr>
          <w:trHeight w:val="340"/>
        </w:trPr>
        <w:tc>
          <w:tcPr>
            <w:tcW w:w="4508" w:type="dxa"/>
            <w:vAlign w:val="center"/>
          </w:tcPr>
          <w:p w14:paraId="3E832BB9" w14:textId="77777777" w:rsidR="003C3109" w:rsidRPr="00FE2C3C" w:rsidRDefault="003C3109" w:rsidP="00BD5A77">
            <w:pPr>
              <w:rPr>
                <w:rStyle w:val="SubtleEmphasis"/>
                <w:b/>
                <w:bCs/>
              </w:rPr>
            </w:pPr>
            <w:r w:rsidRPr="00FE2C3C">
              <w:rPr>
                <w:rStyle w:val="SubtleEmphasis"/>
                <w:b/>
                <w:bCs/>
              </w:rPr>
              <w:t>NEXT REVIEW DATE</w:t>
            </w:r>
          </w:p>
        </w:tc>
        <w:tc>
          <w:tcPr>
            <w:tcW w:w="4508" w:type="dxa"/>
            <w:vAlign w:val="center"/>
          </w:tcPr>
          <w:p w14:paraId="49313053" w14:textId="19DFB2C8" w:rsidR="003C3109" w:rsidRPr="00D9301C" w:rsidRDefault="003C3109" w:rsidP="00BD5A77">
            <w:pPr>
              <w:rPr>
                <w:rStyle w:val="SubtleEmphasis"/>
              </w:rPr>
            </w:pPr>
            <w:r>
              <w:rPr>
                <w:rStyle w:val="SubtleEmphasis"/>
              </w:rPr>
              <w:t>2027</w:t>
            </w:r>
          </w:p>
        </w:tc>
      </w:tr>
      <w:tr w:rsidR="003C3109" w:rsidRPr="00424E11" w14:paraId="7BB364BF" w14:textId="77777777" w:rsidTr="00BD5A77">
        <w:trPr>
          <w:trHeight w:val="340"/>
        </w:trPr>
        <w:tc>
          <w:tcPr>
            <w:tcW w:w="4508" w:type="dxa"/>
            <w:vAlign w:val="center"/>
          </w:tcPr>
          <w:p w14:paraId="4A0830CF" w14:textId="77777777" w:rsidR="003C3109" w:rsidRPr="00FE2C3C" w:rsidRDefault="003C3109" w:rsidP="00BD5A77">
            <w:pPr>
              <w:rPr>
                <w:rStyle w:val="SubtleEmphasis"/>
                <w:b/>
                <w:bCs/>
              </w:rPr>
            </w:pPr>
            <w:r w:rsidRPr="5E802755">
              <w:rPr>
                <w:rStyle w:val="SubtleEmphasis"/>
                <w:b/>
                <w:bCs/>
              </w:rPr>
              <w:t>OUTCOME OF EQUALITY IMPACT ASSESSMENT</w:t>
            </w:r>
          </w:p>
        </w:tc>
        <w:tc>
          <w:tcPr>
            <w:tcW w:w="4508" w:type="dxa"/>
            <w:vAlign w:val="center"/>
          </w:tcPr>
          <w:p w14:paraId="37456152" w14:textId="77777777" w:rsidR="003C3109" w:rsidRPr="00D9301C" w:rsidRDefault="003C3109" w:rsidP="00BD5A77">
            <w:pPr>
              <w:rPr>
                <w:rStyle w:val="SubtleEmphasis"/>
              </w:rPr>
            </w:pPr>
          </w:p>
        </w:tc>
      </w:tr>
      <w:tr w:rsidR="003C3109" w:rsidRPr="00424E11" w14:paraId="4A4701C4" w14:textId="77777777" w:rsidTr="00BD5A77">
        <w:trPr>
          <w:trHeight w:val="340"/>
        </w:trPr>
        <w:tc>
          <w:tcPr>
            <w:tcW w:w="4508" w:type="dxa"/>
            <w:vAlign w:val="center"/>
          </w:tcPr>
          <w:p w14:paraId="2C2CEB0C" w14:textId="77777777" w:rsidR="003C3109" w:rsidRPr="00FE2C3C" w:rsidRDefault="003C3109" w:rsidP="00BD5A77">
            <w:pPr>
              <w:rPr>
                <w:rStyle w:val="SubtleEmphasis"/>
                <w:b/>
                <w:bCs/>
              </w:rPr>
            </w:pPr>
            <w:r w:rsidRPr="00FE2C3C">
              <w:rPr>
                <w:rStyle w:val="SubtleEmphasis"/>
                <w:b/>
                <w:bCs/>
              </w:rPr>
              <w:t>RELATED POLICIES / PROCEDURES / GUIDANCE</w:t>
            </w:r>
          </w:p>
        </w:tc>
        <w:tc>
          <w:tcPr>
            <w:tcW w:w="4508" w:type="dxa"/>
            <w:vAlign w:val="center"/>
          </w:tcPr>
          <w:p w14:paraId="52420858" w14:textId="77777777" w:rsidR="003C3109" w:rsidRPr="007B244E" w:rsidRDefault="00F74F00" w:rsidP="00BD5A77">
            <w:pPr>
              <w:rPr>
                <w:rStyle w:val="SubtleEmphasis"/>
                <w:rFonts w:cs="Arial"/>
                <w:i w:val="0"/>
              </w:rPr>
            </w:pPr>
            <w:hyperlink r:id="rId12" w:history="1">
              <w:r w:rsidR="003C3109" w:rsidRPr="003C053E">
                <w:rPr>
                  <w:rStyle w:val="Hyperlink"/>
                  <w:i/>
                  <w:iCs/>
                </w:rPr>
                <w:t>Academic Handbook Ah1_07 (cardiffmet.ac.uk)</w:t>
              </w:r>
            </w:hyperlink>
          </w:p>
        </w:tc>
      </w:tr>
      <w:tr w:rsidR="003C3109" w:rsidRPr="00424E11" w14:paraId="769567D4" w14:textId="77777777" w:rsidTr="00BD5A77">
        <w:trPr>
          <w:trHeight w:val="340"/>
        </w:trPr>
        <w:tc>
          <w:tcPr>
            <w:tcW w:w="4508" w:type="dxa"/>
            <w:vAlign w:val="center"/>
          </w:tcPr>
          <w:p w14:paraId="211BA854" w14:textId="77777777" w:rsidR="003C3109" w:rsidRPr="00FE2C3C" w:rsidRDefault="003C3109" w:rsidP="00BD5A77">
            <w:pPr>
              <w:rPr>
                <w:rStyle w:val="SubtleEmphasis"/>
                <w:b/>
                <w:bCs/>
              </w:rPr>
            </w:pPr>
            <w:r w:rsidRPr="00FE2C3C">
              <w:rPr>
                <w:rStyle w:val="SubtleEmphasis"/>
                <w:b/>
                <w:bCs/>
              </w:rPr>
              <w:t>IMPLEMENTATION DATE</w:t>
            </w:r>
          </w:p>
        </w:tc>
        <w:tc>
          <w:tcPr>
            <w:tcW w:w="4508" w:type="dxa"/>
            <w:vAlign w:val="center"/>
          </w:tcPr>
          <w:p w14:paraId="3D15561D" w14:textId="77777777" w:rsidR="003C3109" w:rsidRPr="00D9301C" w:rsidRDefault="003C3109" w:rsidP="00BD5A77">
            <w:pPr>
              <w:rPr>
                <w:rStyle w:val="SubtleEmphasis"/>
              </w:rPr>
            </w:pPr>
            <w:r>
              <w:rPr>
                <w:rStyle w:val="SubtleEmphasis"/>
              </w:rPr>
              <w:t>Sep 2012</w:t>
            </w:r>
          </w:p>
        </w:tc>
      </w:tr>
      <w:tr w:rsidR="003C3109" w:rsidRPr="00424E11" w14:paraId="0E07B65D" w14:textId="77777777" w:rsidTr="00BD5A77">
        <w:trPr>
          <w:trHeight w:val="340"/>
        </w:trPr>
        <w:tc>
          <w:tcPr>
            <w:tcW w:w="4508" w:type="dxa"/>
            <w:vAlign w:val="center"/>
          </w:tcPr>
          <w:p w14:paraId="5CBD334A" w14:textId="77777777" w:rsidR="003C3109" w:rsidRPr="00FE2C3C" w:rsidRDefault="003C3109" w:rsidP="00BD5A77">
            <w:pPr>
              <w:rPr>
                <w:rStyle w:val="SubtleEmphasis"/>
                <w:b/>
                <w:bCs/>
              </w:rPr>
            </w:pPr>
            <w:r w:rsidRPr="00FE2C3C">
              <w:rPr>
                <w:rStyle w:val="SubtleEmphasis"/>
                <w:b/>
                <w:bCs/>
              </w:rPr>
              <w:t>POLICY OWNER (JOB TITLE)</w:t>
            </w:r>
          </w:p>
        </w:tc>
        <w:tc>
          <w:tcPr>
            <w:tcW w:w="4508" w:type="dxa"/>
            <w:vAlign w:val="center"/>
          </w:tcPr>
          <w:p w14:paraId="616580B6" w14:textId="77777777" w:rsidR="003C3109" w:rsidRPr="00D9301C" w:rsidRDefault="003C3109" w:rsidP="00BD5A77">
            <w:pPr>
              <w:rPr>
                <w:rStyle w:val="SubtleEmphasis"/>
              </w:rPr>
            </w:pPr>
            <w:r>
              <w:rPr>
                <w:rStyle w:val="SubtleEmphasis"/>
              </w:rPr>
              <w:t>Director of Registry Services</w:t>
            </w:r>
          </w:p>
        </w:tc>
      </w:tr>
      <w:tr w:rsidR="003C3109" w:rsidRPr="00424E11" w14:paraId="3E5B7003" w14:textId="77777777" w:rsidTr="00BD5A77">
        <w:trPr>
          <w:trHeight w:val="340"/>
        </w:trPr>
        <w:tc>
          <w:tcPr>
            <w:tcW w:w="4508" w:type="dxa"/>
            <w:vAlign w:val="center"/>
          </w:tcPr>
          <w:p w14:paraId="58EBC502" w14:textId="77777777" w:rsidR="003C3109" w:rsidRPr="00FE2C3C" w:rsidRDefault="003C3109" w:rsidP="00BD5A77">
            <w:pPr>
              <w:rPr>
                <w:rStyle w:val="SubtleEmphasis"/>
                <w:b/>
                <w:bCs/>
              </w:rPr>
            </w:pPr>
            <w:r w:rsidRPr="00FE2C3C">
              <w:rPr>
                <w:rStyle w:val="SubtleEmphasis"/>
                <w:b/>
                <w:bCs/>
              </w:rPr>
              <w:t>UNIT / SERVICE</w:t>
            </w:r>
          </w:p>
        </w:tc>
        <w:tc>
          <w:tcPr>
            <w:tcW w:w="4508" w:type="dxa"/>
            <w:vAlign w:val="center"/>
          </w:tcPr>
          <w:p w14:paraId="67F1B28B" w14:textId="77777777" w:rsidR="003C3109" w:rsidRPr="00D9301C" w:rsidRDefault="003C3109" w:rsidP="00BD5A77">
            <w:pPr>
              <w:rPr>
                <w:rStyle w:val="SubtleEmphasis"/>
              </w:rPr>
            </w:pPr>
            <w:r>
              <w:rPr>
                <w:rStyle w:val="SubtleEmphasis"/>
              </w:rPr>
              <w:t>Registry Services</w:t>
            </w:r>
          </w:p>
        </w:tc>
      </w:tr>
      <w:tr w:rsidR="003C3109" w:rsidRPr="00424E11" w14:paraId="540E255A" w14:textId="77777777" w:rsidTr="00BD5A77">
        <w:trPr>
          <w:trHeight w:val="340"/>
        </w:trPr>
        <w:tc>
          <w:tcPr>
            <w:tcW w:w="4508" w:type="dxa"/>
            <w:vAlign w:val="center"/>
          </w:tcPr>
          <w:p w14:paraId="54E5040C" w14:textId="77777777" w:rsidR="003C3109" w:rsidRPr="00FE2C3C" w:rsidRDefault="003C3109" w:rsidP="00BD5A77">
            <w:pPr>
              <w:rPr>
                <w:rStyle w:val="SubtleEmphasis"/>
                <w:b/>
                <w:bCs/>
              </w:rPr>
            </w:pPr>
            <w:r w:rsidRPr="00FE2C3C">
              <w:rPr>
                <w:rStyle w:val="SubtleEmphasis"/>
                <w:b/>
                <w:bCs/>
              </w:rPr>
              <w:t>CONTACT EMAIL</w:t>
            </w:r>
          </w:p>
        </w:tc>
        <w:tc>
          <w:tcPr>
            <w:tcW w:w="4508" w:type="dxa"/>
            <w:vAlign w:val="center"/>
          </w:tcPr>
          <w:p w14:paraId="70D91BD8" w14:textId="77777777" w:rsidR="003C3109" w:rsidRPr="00D9301C" w:rsidRDefault="003C3109" w:rsidP="00BD5A77">
            <w:pPr>
              <w:rPr>
                <w:rStyle w:val="SubtleEmphasis"/>
              </w:rPr>
            </w:pPr>
            <w:r>
              <w:rPr>
                <w:rStyle w:val="SubtleEmphasis"/>
              </w:rPr>
              <w:t>regulations</w:t>
            </w:r>
            <w:r w:rsidRPr="00D9301C">
              <w:rPr>
                <w:rStyle w:val="SubtleEmphasis"/>
              </w:rPr>
              <w:t>@cardiffmet.ac.uk</w:t>
            </w:r>
          </w:p>
        </w:tc>
      </w:tr>
    </w:tbl>
    <w:p w14:paraId="3DBBDF83" w14:textId="77777777" w:rsidR="003C3109" w:rsidRDefault="003C3109" w:rsidP="003C3109">
      <w:pPr>
        <w:rPr>
          <w:rStyle w:val="SubtleEmphasis"/>
        </w:rPr>
      </w:pPr>
      <w:r>
        <w:rPr>
          <w:rStyle w:val="SubtleEmphasis"/>
        </w:rPr>
        <w:t xml:space="preserve"> </w:t>
      </w:r>
    </w:p>
    <w:p w14:paraId="6B7A7B0E" w14:textId="77777777" w:rsidR="003C3109" w:rsidRDefault="003C3109" w:rsidP="003C3109">
      <w:pPr>
        <w:pStyle w:val="Heading1"/>
        <w:numPr>
          <w:ilvl w:val="0"/>
          <w:numId w:val="0"/>
        </w:numPr>
        <w:ind w:left="431" w:hanging="431"/>
      </w:pPr>
      <w:bookmarkStart w:id="7" w:name="_Toc168317343"/>
      <w:r>
        <w:t>Version Control</w:t>
      </w:r>
      <w:bookmarkEnd w:id="7"/>
    </w:p>
    <w:tbl>
      <w:tblPr>
        <w:tblStyle w:val="TableGrid"/>
        <w:tblW w:w="0" w:type="auto"/>
        <w:tblLook w:val="04A0" w:firstRow="1" w:lastRow="0" w:firstColumn="1" w:lastColumn="0" w:noHBand="0" w:noVBand="1"/>
      </w:tblPr>
      <w:tblGrid>
        <w:gridCol w:w="1838"/>
        <w:gridCol w:w="2126"/>
        <w:gridCol w:w="5052"/>
      </w:tblGrid>
      <w:tr w:rsidR="003C3109" w14:paraId="40F456CA" w14:textId="77777777" w:rsidTr="00BD5A77">
        <w:tc>
          <w:tcPr>
            <w:tcW w:w="1838" w:type="dxa"/>
          </w:tcPr>
          <w:p w14:paraId="54CFB974" w14:textId="77777777" w:rsidR="003C3109" w:rsidRPr="00CD441C" w:rsidRDefault="003C3109" w:rsidP="00BD5A77">
            <w:pPr>
              <w:rPr>
                <w:rStyle w:val="SubtleEmphasis"/>
                <w:b/>
                <w:bCs/>
              </w:rPr>
            </w:pPr>
            <w:r w:rsidRPr="00CD441C">
              <w:rPr>
                <w:rStyle w:val="SubtleEmphasis"/>
                <w:b/>
                <w:bCs/>
              </w:rPr>
              <w:t>VERSION</w:t>
            </w:r>
          </w:p>
        </w:tc>
        <w:tc>
          <w:tcPr>
            <w:tcW w:w="2126" w:type="dxa"/>
          </w:tcPr>
          <w:p w14:paraId="400A6A3D" w14:textId="77777777" w:rsidR="003C3109" w:rsidRPr="00CD441C" w:rsidRDefault="003C3109" w:rsidP="00BD5A77">
            <w:pPr>
              <w:rPr>
                <w:rStyle w:val="SubtleEmphasis"/>
                <w:b/>
                <w:bCs/>
              </w:rPr>
            </w:pPr>
            <w:r w:rsidRPr="00CD441C">
              <w:rPr>
                <w:rStyle w:val="SubtleEmphasis"/>
                <w:b/>
                <w:bCs/>
              </w:rPr>
              <w:t>DATE</w:t>
            </w:r>
          </w:p>
        </w:tc>
        <w:tc>
          <w:tcPr>
            <w:tcW w:w="5052" w:type="dxa"/>
          </w:tcPr>
          <w:p w14:paraId="6A9A6A7E" w14:textId="77777777" w:rsidR="003C3109" w:rsidRPr="00CD441C" w:rsidRDefault="003C3109" w:rsidP="00BD5A77">
            <w:pPr>
              <w:rPr>
                <w:rStyle w:val="SubtleEmphasis"/>
                <w:b/>
                <w:bCs/>
              </w:rPr>
            </w:pPr>
            <w:r w:rsidRPr="00CD441C">
              <w:rPr>
                <w:rStyle w:val="SubtleEmphasis"/>
                <w:b/>
                <w:bCs/>
              </w:rPr>
              <w:t>REASON FOR CHANGE</w:t>
            </w:r>
          </w:p>
        </w:tc>
      </w:tr>
      <w:tr w:rsidR="003C3109" w14:paraId="59C252CD" w14:textId="77777777" w:rsidTr="00BD5A77">
        <w:tc>
          <w:tcPr>
            <w:tcW w:w="1838" w:type="dxa"/>
          </w:tcPr>
          <w:p w14:paraId="78B25640" w14:textId="355881C4" w:rsidR="003C3109" w:rsidRPr="00CD441C" w:rsidRDefault="00BA0D8D" w:rsidP="00BD5A77">
            <w:pPr>
              <w:rPr>
                <w:rStyle w:val="SubtleEmphasis"/>
              </w:rPr>
            </w:pPr>
            <w:r>
              <w:rPr>
                <w:rStyle w:val="SubtleEmphasis"/>
              </w:rPr>
              <w:t>4</w:t>
            </w:r>
          </w:p>
        </w:tc>
        <w:tc>
          <w:tcPr>
            <w:tcW w:w="2126" w:type="dxa"/>
          </w:tcPr>
          <w:p w14:paraId="6CA3D167" w14:textId="7903E079" w:rsidR="003C3109" w:rsidRPr="00CD441C" w:rsidRDefault="00BA0D8D" w:rsidP="00BD5A77">
            <w:pPr>
              <w:rPr>
                <w:rStyle w:val="SubtleEmphasis"/>
              </w:rPr>
            </w:pPr>
            <w:r>
              <w:rPr>
                <w:rStyle w:val="SubtleEmphasis"/>
              </w:rPr>
              <w:t>12 Jun 2024</w:t>
            </w:r>
          </w:p>
        </w:tc>
        <w:tc>
          <w:tcPr>
            <w:tcW w:w="5052" w:type="dxa"/>
          </w:tcPr>
          <w:p w14:paraId="1345BC1A" w14:textId="77777777" w:rsidR="003C3109" w:rsidRDefault="00402622" w:rsidP="00A47EBF">
            <w:pPr>
              <w:pStyle w:val="ListParagraph"/>
              <w:numPr>
                <w:ilvl w:val="0"/>
                <w:numId w:val="14"/>
              </w:numPr>
              <w:rPr>
                <w:rStyle w:val="SubtleEmphasis"/>
              </w:rPr>
            </w:pPr>
            <w:r>
              <w:rPr>
                <w:rStyle w:val="SubtleEmphasis"/>
              </w:rPr>
              <w:t>Simplified language and updated terminology</w:t>
            </w:r>
          </w:p>
          <w:p w14:paraId="3EE13149" w14:textId="1A605134" w:rsidR="00402622" w:rsidRDefault="005E3A69" w:rsidP="00A47EBF">
            <w:pPr>
              <w:pStyle w:val="ListParagraph"/>
              <w:numPr>
                <w:ilvl w:val="0"/>
                <w:numId w:val="14"/>
              </w:numPr>
              <w:rPr>
                <w:rStyle w:val="SubtleEmphasis"/>
              </w:rPr>
            </w:pPr>
            <w:r>
              <w:rPr>
                <w:rStyle w:val="SubtleEmphasis"/>
              </w:rPr>
              <w:t>References to</w:t>
            </w:r>
            <w:r w:rsidR="007D24C4">
              <w:rPr>
                <w:rStyle w:val="SubtleEmphasis"/>
              </w:rPr>
              <w:t xml:space="preserve"> reasonable adjustments, </w:t>
            </w:r>
            <w:r w:rsidR="000C3C2F">
              <w:rPr>
                <w:rStyle w:val="SubtleEmphasis"/>
              </w:rPr>
              <w:t xml:space="preserve">supporting disabled students, </w:t>
            </w:r>
            <w:r w:rsidR="007D24C4">
              <w:rPr>
                <w:rStyle w:val="SubtleEmphasis"/>
              </w:rPr>
              <w:t>pausing of corrections period</w:t>
            </w:r>
          </w:p>
          <w:p w14:paraId="77EFE4B4" w14:textId="0EAEB0AB" w:rsidR="0099443A" w:rsidRDefault="00AA2E91" w:rsidP="00A47EBF">
            <w:pPr>
              <w:pStyle w:val="ListParagraph"/>
              <w:numPr>
                <w:ilvl w:val="0"/>
                <w:numId w:val="14"/>
              </w:numPr>
              <w:rPr>
                <w:rStyle w:val="SubtleEmphasis"/>
              </w:rPr>
            </w:pPr>
            <w:r>
              <w:rPr>
                <w:rStyle w:val="SubtleEmphasis"/>
              </w:rPr>
              <w:t>Increased clarity on</w:t>
            </w:r>
            <w:r w:rsidR="0099443A">
              <w:rPr>
                <w:rStyle w:val="SubtleEmphasis"/>
              </w:rPr>
              <w:t xml:space="preserve"> </w:t>
            </w:r>
            <w:r>
              <w:rPr>
                <w:rStyle w:val="SubtleEmphasis"/>
              </w:rPr>
              <w:t>confidentiality</w:t>
            </w:r>
          </w:p>
          <w:p w14:paraId="60875278" w14:textId="68D24606" w:rsidR="00ED1996" w:rsidRDefault="00ED1996" w:rsidP="00A47EBF">
            <w:pPr>
              <w:pStyle w:val="ListParagraph"/>
              <w:numPr>
                <w:ilvl w:val="0"/>
                <w:numId w:val="14"/>
              </w:numPr>
              <w:rPr>
                <w:rStyle w:val="SubtleEmphasis"/>
              </w:rPr>
            </w:pPr>
            <w:r>
              <w:rPr>
                <w:rStyle w:val="SubtleEmphasis"/>
              </w:rPr>
              <w:t>Confirmed outcomes of Stage Two</w:t>
            </w:r>
          </w:p>
          <w:p w14:paraId="63A55BDF" w14:textId="65D8B7EB" w:rsidR="000C3C2F" w:rsidRPr="00CD441C" w:rsidRDefault="000C3C2F" w:rsidP="00A47EBF">
            <w:pPr>
              <w:pStyle w:val="ListParagraph"/>
              <w:numPr>
                <w:ilvl w:val="0"/>
                <w:numId w:val="14"/>
              </w:numPr>
              <w:rPr>
                <w:rStyle w:val="SubtleEmphasis"/>
              </w:rPr>
            </w:pPr>
            <w:r>
              <w:rPr>
                <w:rStyle w:val="SubtleEmphasis"/>
              </w:rPr>
              <w:t>Alignment with other appeals procedures</w:t>
            </w:r>
          </w:p>
        </w:tc>
      </w:tr>
    </w:tbl>
    <w:p w14:paraId="12A0BC07" w14:textId="234AE89E" w:rsidR="00084894" w:rsidRPr="00376449" w:rsidRDefault="00084894" w:rsidP="00376449">
      <w:pPr>
        <w:rPr>
          <w:szCs w:val="24"/>
        </w:rPr>
      </w:pPr>
    </w:p>
    <w:bookmarkEnd w:id="3"/>
    <w:bookmarkEnd w:id="4"/>
    <w:bookmarkEnd w:id="5"/>
    <w:p w14:paraId="5024C122" w14:textId="3A66567F" w:rsidR="00B65212" w:rsidRDefault="00B65212" w:rsidP="00E97C69">
      <w:pPr>
        <w:pStyle w:val="ActionPoints"/>
        <w:numPr>
          <w:ilvl w:val="0"/>
          <w:numId w:val="0"/>
        </w:numPr>
        <w:ind w:left="360" w:hanging="360"/>
      </w:pPr>
      <w:r>
        <w:br w:type="page"/>
      </w:r>
    </w:p>
    <w:sdt>
      <w:sdtPr>
        <w:rPr>
          <w:rFonts w:asciiTheme="minorHAnsi" w:hAnsiTheme="minorHAnsi"/>
          <w:shd w:val="clear" w:color="auto" w:fill="E6E6E6"/>
        </w:rPr>
        <w:id w:val="869342007"/>
        <w:docPartObj>
          <w:docPartGallery w:val="Table of Contents"/>
          <w:docPartUnique/>
        </w:docPartObj>
      </w:sdtPr>
      <w:sdtEndPr>
        <w:rPr>
          <w:rFonts w:ascii="Arial" w:hAnsi="Arial"/>
          <w:b/>
          <w:bCs/>
          <w:noProof/>
        </w:rPr>
      </w:sdtEndPr>
      <w:sdtContent>
        <w:p w14:paraId="2B8FD41F" w14:textId="77777777" w:rsidR="00DF4655" w:rsidRDefault="00176A6B" w:rsidP="0013496B">
          <w:pPr>
            <w:pStyle w:val="TOC1"/>
            <w:rPr>
              <w:noProof/>
            </w:rPr>
          </w:pPr>
          <w:r w:rsidRPr="00EC2C8F">
            <w:rPr>
              <w:rStyle w:val="Heading1Char"/>
            </w:rPr>
            <w:t>Contents</w:t>
          </w:r>
          <w:r w:rsidRPr="00A10647">
            <w:rPr>
              <w:rFonts w:ascii="Altis Book" w:eastAsiaTheme="majorEastAsia" w:hAnsi="Altis Book" w:cstheme="majorBidi"/>
              <w:color w:val="2B579A"/>
              <w:shd w:val="clear" w:color="auto" w:fill="E6E6E6"/>
              <w:lang w:val="en-US"/>
            </w:rPr>
            <w:fldChar w:fldCharType="begin"/>
          </w:r>
          <w:r w:rsidRPr="5E802755">
            <w:instrText xml:space="preserve"> TOC \o "1-1" \h \z \u </w:instrText>
          </w:r>
          <w:r w:rsidRPr="00A10647">
            <w:rPr>
              <w:rFonts w:ascii="Altis Book" w:eastAsiaTheme="majorEastAsia" w:hAnsi="Altis Book" w:cstheme="majorBidi"/>
              <w:color w:val="2B579A"/>
              <w:shd w:val="clear" w:color="auto" w:fill="E6E6E6"/>
              <w:lang w:val="en-US"/>
            </w:rPr>
            <w:fldChar w:fldCharType="separate"/>
          </w:r>
        </w:p>
        <w:p w14:paraId="47C9825A" w14:textId="1112580D" w:rsidR="00DF4655" w:rsidRDefault="00F74F00">
          <w:pPr>
            <w:pStyle w:val="TOC1"/>
            <w:rPr>
              <w:rFonts w:asciiTheme="minorHAnsi" w:eastAsiaTheme="minorEastAsia" w:hAnsiTheme="minorHAnsi"/>
              <w:noProof/>
              <w:color w:val="auto"/>
              <w:kern w:val="2"/>
              <w:szCs w:val="24"/>
              <w:lang w:eastAsia="en-GB"/>
              <w14:ligatures w14:val="standardContextual"/>
            </w:rPr>
          </w:pPr>
          <w:hyperlink w:anchor="_Toc168317342" w:history="1">
            <w:r w:rsidR="00DF4655" w:rsidRPr="0069582D">
              <w:rPr>
                <w:rStyle w:val="Hyperlink"/>
                <w:noProof/>
              </w:rPr>
              <w:t>Key Details</w:t>
            </w:r>
            <w:r w:rsidR="00DF4655">
              <w:rPr>
                <w:noProof/>
                <w:webHidden/>
              </w:rPr>
              <w:tab/>
            </w:r>
            <w:r w:rsidR="00DF4655">
              <w:rPr>
                <w:noProof/>
                <w:webHidden/>
              </w:rPr>
              <w:fldChar w:fldCharType="begin"/>
            </w:r>
            <w:r w:rsidR="00DF4655">
              <w:rPr>
                <w:noProof/>
                <w:webHidden/>
              </w:rPr>
              <w:instrText xml:space="preserve"> PAGEREF _Toc168317342 \h </w:instrText>
            </w:r>
            <w:r w:rsidR="00DF4655">
              <w:rPr>
                <w:noProof/>
                <w:webHidden/>
              </w:rPr>
            </w:r>
            <w:r w:rsidR="00DF4655">
              <w:rPr>
                <w:noProof/>
                <w:webHidden/>
              </w:rPr>
              <w:fldChar w:fldCharType="separate"/>
            </w:r>
            <w:r w:rsidR="00DF4655">
              <w:rPr>
                <w:noProof/>
                <w:webHidden/>
              </w:rPr>
              <w:t>1</w:t>
            </w:r>
            <w:r w:rsidR="00DF4655">
              <w:rPr>
                <w:noProof/>
                <w:webHidden/>
              </w:rPr>
              <w:fldChar w:fldCharType="end"/>
            </w:r>
          </w:hyperlink>
        </w:p>
        <w:p w14:paraId="189A8F6A" w14:textId="66B953C7" w:rsidR="00DF4655" w:rsidRDefault="00F74F00">
          <w:pPr>
            <w:pStyle w:val="TOC1"/>
            <w:rPr>
              <w:rFonts w:asciiTheme="minorHAnsi" w:eastAsiaTheme="minorEastAsia" w:hAnsiTheme="minorHAnsi"/>
              <w:noProof/>
              <w:color w:val="auto"/>
              <w:kern w:val="2"/>
              <w:szCs w:val="24"/>
              <w:lang w:eastAsia="en-GB"/>
              <w14:ligatures w14:val="standardContextual"/>
            </w:rPr>
          </w:pPr>
          <w:hyperlink w:anchor="_Toc168317343" w:history="1">
            <w:r w:rsidR="00DF4655" w:rsidRPr="0069582D">
              <w:rPr>
                <w:rStyle w:val="Hyperlink"/>
                <w:noProof/>
              </w:rPr>
              <w:t>Version Control</w:t>
            </w:r>
            <w:r w:rsidR="00DF4655">
              <w:rPr>
                <w:noProof/>
                <w:webHidden/>
              </w:rPr>
              <w:tab/>
            </w:r>
            <w:r w:rsidR="00DF4655">
              <w:rPr>
                <w:noProof/>
                <w:webHidden/>
              </w:rPr>
              <w:fldChar w:fldCharType="begin"/>
            </w:r>
            <w:r w:rsidR="00DF4655">
              <w:rPr>
                <w:noProof/>
                <w:webHidden/>
              </w:rPr>
              <w:instrText xml:space="preserve"> PAGEREF _Toc168317343 \h </w:instrText>
            </w:r>
            <w:r w:rsidR="00DF4655">
              <w:rPr>
                <w:noProof/>
                <w:webHidden/>
              </w:rPr>
            </w:r>
            <w:r w:rsidR="00DF4655">
              <w:rPr>
                <w:noProof/>
                <w:webHidden/>
              </w:rPr>
              <w:fldChar w:fldCharType="separate"/>
            </w:r>
            <w:r w:rsidR="00DF4655">
              <w:rPr>
                <w:noProof/>
                <w:webHidden/>
              </w:rPr>
              <w:t>1</w:t>
            </w:r>
            <w:r w:rsidR="00DF4655">
              <w:rPr>
                <w:noProof/>
                <w:webHidden/>
              </w:rPr>
              <w:fldChar w:fldCharType="end"/>
            </w:r>
          </w:hyperlink>
        </w:p>
        <w:p w14:paraId="7C7C8B61" w14:textId="4444E0FC"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4" w:history="1">
            <w:r w:rsidR="00DF4655" w:rsidRPr="0069582D">
              <w:rPr>
                <w:rStyle w:val="Hyperlink"/>
                <w:rFonts w:asciiTheme="majorHAnsi" w:hAnsiTheme="majorHAnsi"/>
                <w:noProof/>
              </w:rPr>
              <w:t>1</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Introduction</w:t>
            </w:r>
            <w:r w:rsidR="00DF4655">
              <w:rPr>
                <w:noProof/>
                <w:webHidden/>
              </w:rPr>
              <w:tab/>
            </w:r>
            <w:r w:rsidR="00DF4655">
              <w:rPr>
                <w:noProof/>
                <w:webHidden/>
              </w:rPr>
              <w:fldChar w:fldCharType="begin"/>
            </w:r>
            <w:r w:rsidR="00DF4655">
              <w:rPr>
                <w:noProof/>
                <w:webHidden/>
              </w:rPr>
              <w:instrText xml:space="preserve"> PAGEREF _Toc168317344 \h </w:instrText>
            </w:r>
            <w:r w:rsidR="00DF4655">
              <w:rPr>
                <w:noProof/>
                <w:webHidden/>
              </w:rPr>
            </w:r>
            <w:r w:rsidR="00DF4655">
              <w:rPr>
                <w:noProof/>
                <w:webHidden/>
              </w:rPr>
              <w:fldChar w:fldCharType="separate"/>
            </w:r>
            <w:r w:rsidR="00DF4655">
              <w:rPr>
                <w:noProof/>
                <w:webHidden/>
              </w:rPr>
              <w:t>3</w:t>
            </w:r>
            <w:r w:rsidR="00DF4655">
              <w:rPr>
                <w:noProof/>
                <w:webHidden/>
              </w:rPr>
              <w:fldChar w:fldCharType="end"/>
            </w:r>
          </w:hyperlink>
        </w:p>
        <w:p w14:paraId="50FBF914" w14:textId="5C4C8E76"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5" w:history="1">
            <w:r w:rsidR="00DF4655" w:rsidRPr="0069582D">
              <w:rPr>
                <w:rStyle w:val="Hyperlink"/>
                <w:rFonts w:asciiTheme="majorHAnsi" w:hAnsiTheme="majorHAnsi"/>
                <w:noProof/>
              </w:rPr>
              <w:t>2</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Grounds for Appeal</w:t>
            </w:r>
            <w:r w:rsidR="00DF4655">
              <w:rPr>
                <w:noProof/>
                <w:webHidden/>
              </w:rPr>
              <w:tab/>
            </w:r>
            <w:r w:rsidR="00DF4655">
              <w:rPr>
                <w:noProof/>
                <w:webHidden/>
              </w:rPr>
              <w:fldChar w:fldCharType="begin"/>
            </w:r>
            <w:r w:rsidR="00DF4655">
              <w:rPr>
                <w:noProof/>
                <w:webHidden/>
              </w:rPr>
              <w:instrText xml:space="preserve"> PAGEREF _Toc168317345 \h </w:instrText>
            </w:r>
            <w:r w:rsidR="00DF4655">
              <w:rPr>
                <w:noProof/>
                <w:webHidden/>
              </w:rPr>
            </w:r>
            <w:r w:rsidR="00DF4655">
              <w:rPr>
                <w:noProof/>
                <w:webHidden/>
              </w:rPr>
              <w:fldChar w:fldCharType="separate"/>
            </w:r>
            <w:r w:rsidR="00DF4655">
              <w:rPr>
                <w:noProof/>
                <w:webHidden/>
              </w:rPr>
              <w:t>3</w:t>
            </w:r>
            <w:r w:rsidR="00DF4655">
              <w:rPr>
                <w:noProof/>
                <w:webHidden/>
              </w:rPr>
              <w:fldChar w:fldCharType="end"/>
            </w:r>
          </w:hyperlink>
        </w:p>
        <w:p w14:paraId="6D8F6362" w14:textId="0505CC41"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6" w:history="1">
            <w:r w:rsidR="00DF4655" w:rsidRPr="0069582D">
              <w:rPr>
                <w:rStyle w:val="Hyperlink"/>
                <w:rFonts w:asciiTheme="majorHAnsi" w:hAnsiTheme="majorHAnsi"/>
                <w:noProof/>
              </w:rPr>
              <w:t>3</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Exceptional Personal Circumstances</w:t>
            </w:r>
            <w:r w:rsidR="00DF4655">
              <w:rPr>
                <w:noProof/>
                <w:webHidden/>
              </w:rPr>
              <w:tab/>
            </w:r>
            <w:r w:rsidR="00DF4655">
              <w:rPr>
                <w:noProof/>
                <w:webHidden/>
              </w:rPr>
              <w:fldChar w:fldCharType="begin"/>
            </w:r>
            <w:r w:rsidR="00DF4655">
              <w:rPr>
                <w:noProof/>
                <w:webHidden/>
              </w:rPr>
              <w:instrText xml:space="preserve"> PAGEREF _Toc168317346 \h </w:instrText>
            </w:r>
            <w:r w:rsidR="00DF4655">
              <w:rPr>
                <w:noProof/>
                <w:webHidden/>
              </w:rPr>
            </w:r>
            <w:r w:rsidR="00DF4655">
              <w:rPr>
                <w:noProof/>
                <w:webHidden/>
              </w:rPr>
              <w:fldChar w:fldCharType="separate"/>
            </w:r>
            <w:r w:rsidR="00DF4655">
              <w:rPr>
                <w:noProof/>
                <w:webHidden/>
              </w:rPr>
              <w:t>5</w:t>
            </w:r>
            <w:r w:rsidR="00DF4655">
              <w:rPr>
                <w:noProof/>
                <w:webHidden/>
              </w:rPr>
              <w:fldChar w:fldCharType="end"/>
            </w:r>
          </w:hyperlink>
        </w:p>
        <w:p w14:paraId="30E48EC1" w14:textId="5F6EEAE5"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7" w:history="1">
            <w:r w:rsidR="00DF4655" w:rsidRPr="0069582D">
              <w:rPr>
                <w:rStyle w:val="Hyperlink"/>
                <w:rFonts w:asciiTheme="majorHAnsi" w:hAnsiTheme="majorHAnsi"/>
                <w:noProof/>
              </w:rPr>
              <w:t>4</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Submission of Appeal</w:t>
            </w:r>
            <w:r w:rsidR="00DF4655">
              <w:rPr>
                <w:noProof/>
                <w:webHidden/>
              </w:rPr>
              <w:tab/>
            </w:r>
            <w:r w:rsidR="00DF4655">
              <w:rPr>
                <w:noProof/>
                <w:webHidden/>
              </w:rPr>
              <w:fldChar w:fldCharType="begin"/>
            </w:r>
            <w:r w:rsidR="00DF4655">
              <w:rPr>
                <w:noProof/>
                <w:webHidden/>
              </w:rPr>
              <w:instrText xml:space="preserve"> PAGEREF _Toc168317347 \h </w:instrText>
            </w:r>
            <w:r w:rsidR="00DF4655">
              <w:rPr>
                <w:noProof/>
                <w:webHidden/>
              </w:rPr>
            </w:r>
            <w:r w:rsidR="00DF4655">
              <w:rPr>
                <w:noProof/>
                <w:webHidden/>
              </w:rPr>
              <w:fldChar w:fldCharType="separate"/>
            </w:r>
            <w:r w:rsidR="00DF4655">
              <w:rPr>
                <w:noProof/>
                <w:webHidden/>
              </w:rPr>
              <w:t>5</w:t>
            </w:r>
            <w:r w:rsidR="00DF4655">
              <w:rPr>
                <w:noProof/>
                <w:webHidden/>
              </w:rPr>
              <w:fldChar w:fldCharType="end"/>
            </w:r>
          </w:hyperlink>
        </w:p>
        <w:p w14:paraId="4B45482C" w14:textId="05D04EF6"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8" w:history="1">
            <w:r w:rsidR="00DF4655" w:rsidRPr="0069582D">
              <w:rPr>
                <w:rStyle w:val="Hyperlink"/>
                <w:rFonts w:asciiTheme="majorHAnsi" w:hAnsiTheme="majorHAnsi"/>
                <w:noProof/>
              </w:rPr>
              <w:t>5</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Pause of a Corrections Period</w:t>
            </w:r>
            <w:r w:rsidR="00DF4655">
              <w:rPr>
                <w:noProof/>
                <w:webHidden/>
              </w:rPr>
              <w:tab/>
            </w:r>
            <w:r w:rsidR="00DF4655">
              <w:rPr>
                <w:noProof/>
                <w:webHidden/>
              </w:rPr>
              <w:fldChar w:fldCharType="begin"/>
            </w:r>
            <w:r w:rsidR="00DF4655">
              <w:rPr>
                <w:noProof/>
                <w:webHidden/>
              </w:rPr>
              <w:instrText xml:space="preserve"> PAGEREF _Toc168317348 \h </w:instrText>
            </w:r>
            <w:r w:rsidR="00DF4655">
              <w:rPr>
                <w:noProof/>
                <w:webHidden/>
              </w:rPr>
            </w:r>
            <w:r w:rsidR="00DF4655">
              <w:rPr>
                <w:noProof/>
                <w:webHidden/>
              </w:rPr>
              <w:fldChar w:fldCharType="separate"/>
            </w:r>
            <w:r w:rsidR="00DF4655">
              <w:rPr>
                <w:noProof/>
                <w:webHidden/>
              </w:rPr>
              <w:t>6</w:t>
            </w:r>
            <w:r w:rsidR="00DF4655">
              <w:rPr>
                <w:noProof/>
                <w:webHidden/>
              </w:rPr>
              <w:fldChar w:fldCharType="end"/>
            </w:r>
          </w:hyperlink>
        </w:p>
        <w:p w14:paraId="3BEE9374" w14:textId="448BD968"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49" w:history="1">
            <w:r w:rsidR="00DF4655" w:rsidRPr="0069582D">
              <w:rPr>
                <w:rStyle w:val="Hyperlink"/>
                <w:rFonts w:asciiTheme="majorHAnsi" w:hAnsiTheme="majorHAnsi"/>
                <w:noProof/>
              </w:rPr>
              <w:t>6</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Confidentiality</w:t>
            </w:r>
            <w:r w:rsidR="00DF4655">
              <w:rPr>
                <w:noProof/>
                <w:webHidden/>
              </w:rPr>
              <w:tab/>
            </w:r>
            <w:r w:rsidR="00DF4655">
              <w:rPr>
                <w:noProof/>
                <w:webHidden/>
              </w:rPr>
              <w:fldChar w:fldCharType="begin"/>
            </w:r>
            <w:r w:rsidR="00DF4655">
              <w:rPr>
                <w:noProof/>
                <w:webHidden/>
              </w:rPr>
              <w:instrText xml:space="preserve"> PAGEREF _Toc168317349 \h </w:instrText>
            </w:r>
            <w:r w:rsidR="00DF4655">
              <w:rPr>
                <w:noProof/>
                <w:webHidden/>
              </w:rPr>
            </w:r>
            <w:r w:rsidR="00DF4655">
              <w:rPr>
                <w:noProof/>
                <w:webHidden/>
              </w:rPr>
              <w:fldChar w:fldCharType="separate"/>
            </w:r>
            <w:r w:rsidR="00DF4655">
              <w:rPr>
                <w:noProof/>
                <w:webHidden/>
              </w:rPr>
              <w:t>6</w:t>
            </w:r>
            <w:r w:rsidR="00DF4655">
              <w:rPr>
                <w:noProof/>
                <w:webHidden/>
              </w:rPr>
              <w:fldChar w:fldCharType="end"/>
            </w:r>
          </w:hyperlink>
        </w:p>
        <w:p w14:paraId="4A9BB051" w14:textId="7D549C5A"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0" w:history="1">
            <w:r w:rsidR="00DF4655" w:rsidRPr="0069582D">
              <w:rPr>
                <w:rStyle w:val="Hyperlink"/>
                <w:rFonts w:asciiTheme="majorHAnsi" w:hAnsiTheme="majorHAnsi"/>
                <w:noProof/>
              </w:rPr>
              <w:t>7</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Stage One - Consideration of the Appeal</w:t>
            </w:r>
            <w:r w:rsidR="00DF4655">
              <w:rPr>
                <w:noProof/>
                <w:webHidden/>
              </w:rPr>
              <w:tab/>
            </w:r>
            <w:r w:rsidR="00DF4655">
              <w:rPr>
                <w:noProof/>
                <w:webHidden/>
              </w:rPr>
              <w:fldChar w:fldCharType="begin"/>
            </w:r>
            <w:r w:rsidR="00DF4655">
              <w:rPr>
                <w:noProof/>
                <w:webHidden/>
              </w:rPr>
              <w:instrText xml:space="preserve"> PAGEREF _Toc168317350 \h </w:instrText>
            </w:r>
            <w:r w:rsidR="00DF4655">
              <w:rPr>
                <w:noProof/>
                <w:webHidden/>
              </w:rPr>
            </w:r>
            <w:r w:rsidR="00DF4655">
              <w:rPr>
                <w:noProof/>
                <w:webHidden/>
              </w:rPr>
              <w:fldChar w:fldCharType="separate"/>
            </w:r>
            <w:r w:rsidR="00DF4655">
              <w:rPr>
                <w:noProof/>
                <w:webHidden/>
              </w:rPr>
              <w:t>7</w:t>
            </w:r>
            <w:r w:rsidR="00DF4655">
              <w:rPr>
                <w:noProof/>
                <w:webHidden/>
              </w:rPr>
              <w:fldChar w:fldCharType="end"/>
            </w:r>
          </w:hyperlink>
        </w:p>
        <w:p w14:paraId="51C7F1D6" w14:textId="66B7347A"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1" w:history="1">
            <w:r w:rsidR="00DF4655" w:rsidRPr="0069582D">
              <w:rPr>
                <w:rStyle w:val="Hyperlink"/>
                <w:rFonts w:asciiTheme="majorHAnsi" w:hAnsiTheme="majorHAnsi"/>
                <w:noProof/>
              </w:rPr>
              <w:t>8</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Appeal Board</w:t>
            </w:r>
            <w:r w:rsidR="00DF4655">
              <w:rPr>
                <w:noProof/>
                <w:webHidden/>
              </w:rPr>
              <w:tab/>
            </w:r>
            <w:r w:rsidR="00DF4655">
              <w:rPr>
                <w:noProof/>
                <w:webHidden/>
              </w:rPr>
              <w:fldChar w:fldCharType="begin"/>
            </w:r>
            <w:r w:rsidR="00DF4655">
              <w:rPr>
                <w:noProof/>
                <w:webHidden/>
              </w:rPr>
              <w:instrText xml:space="preserve"> PAGEREF _Toc168317351 \h </w:instrText>
            </w:r>
            <w:r w:rsidR="00DF4655">
              <w:rPr>
                <w:noProof/>
                <w:webHidden/>
              </w:rPr>
            </w:r>
            <w:r w:rsidR="00DF4655">
              <w:rPr>
                <w:noProof/>
                <w:webHidden/>
              </w:rPr>
              <w:fldChar w:fldCharType="separate"/>
            </w:r>
            <w:r w:rsidR="00DF4655">
              <w:rPr>
                <w:noProof/>
                <w:webHidden/>
              </w:rPr>
              <w:t>7</w:t>
            </w:r>
            <w:r w:rsidR="00DF4655">
              <w:rPr>
                <w:noProof/>
                <w:webHidden/>
              </w:rPr>
              <w:fldChar w:fldCharType="end"/>
            </w:r>
          </w:hyperlink>
        </w:p>
        <w:p w14:paraId="7E95737C" w14:textId="35B274D3" w:rsidR="00DF4655" w:rsidRDefault="00F74F00">
          <w:pPr>
            <w:pStyle w:val="TOC1"/>
            <w:tabs>
              <w:tab w:val="left" w:pos="440"/>
            </w:tabs>
            <w:rPr>
              <w:rFonts w:asciiTheme="minorHAnsi" w:eastAsiaTheme="minorEastAsia" w:hAnsiTheme="minorHAnsi"/>
              <w:noProof/>
              <w:color w:val="auto"/>
              <w:kern w:val="2"/>
              <w:szCs w:val="24"/>
              <w:lang w:eastAsia="en-GB"/>
              <w14:ligatures w14:val="standardContextual"/>
            </w:rPr>
          </w:pPr>
          <w:hyperlink w:anchor="_Toc168317352" w:history="1">
            <w:r w:rsidR="00DF4655" w:rsidRPr="0069582D">
              <w:rPr>
                <w:rStyle w:val="Hyperlink"/>
                <w:rFonts w:asciiTheme="majorHAnsi" w:hAnsiTheme="majorHAnsi"/>
                <w:noProof/>
              </w:rPr>
              <w:t>9</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Outcomes of an Appeal Board</w:t>
            </w:r>
            <w:r w:rsidR="00DF4655">
              <w:rPr>
                <w:noProof/>
                <w:webHidden/>
              </w:rPr>
              <w:tab/>
            </w:r>
            <w:r w:rsidR="00DF4655">
              <w:rPr>
                <w:noProof/>
                <w:webHidden/>
              </w:rPr>
              <w:fldChar w:fldCharType="begin"/>
            </w:r>
            <w:r w:rsidR="00DF4655">
              <w:rPr>
                <w:noProof/>
                <w:webHidden/>
              </w:rPr>
              <w:instrText xml:space="preserve"> PAGEREF _Toc168317352 \h </w:instrText>
            </w:r>
            <w:r w:rsidR="00DF4655">
              <w:rPr>
                <w:noProof/>
                <w:webHidden/>
              </w:rPr>
            </w:r>
            <w:r w:rsidR="00DF4655">
              <w:rPr>
                <w:noProof/>
                <w:webHidden/>
              </w:rPr>
              <w:fldChar w:fldCharType="separate"/>
            </w:r>
            <w:r w:rsidR="00DF4655">
              <w:rPr>
                <w:noProof/>
                <w:webHidden/>
              </w:rPr>
              <w:t>8</w:t>
            </w:r>
            <w:r w:rsidR="00DF4655">
              <w:rPr>
                <w:noProof/>
                <w:webHidden/>
              </w:rPr>
              <w:fldChar w:fldCharType="end"/>
            </w:r>
          </w:hyperlink>
        </w:p>
        <w:p w14:paraId="467C4698" w14:textId="2394C47F"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3" w:history="1">
            <w:r w:rsidR="00DF4655" w:rsidRPr="0069582D">
              <w:rPr>
                <w:rStyle w:val="Hyperlink"/>
                <w:rFonts w:asciiTheme="majorHAnsi" w:hAnsiTheme="majorHAnsi"/>
                <w:noProof/>
              </w:rPr>
              <w:t>10</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Actions following Resolution of an Appeal</w:t>
            </w:r>
            <w:r w:rsidR="00DF4655">
              <w:rPr>
                <w:noProof/>
                <w:webHidden/>
              </w:rPr>
              <w:tab/>
            </w:r>
            <w:r w:rsidR="00DF4655">
              <w:rPr>
                <w:noProof/>
                <w:webHidden/>
              </w:rPr>
              <w:fldChar w:fldCharType="begin"/>
            </w:r>
            <w:r w:rsidR="00DF4655">
              <w:rPr>
                <w:noProof/>
                <w:webHidden/>
              </w:rPr>
              <w:instrText xml:space="preserve"> PAGEREF _Toc168317353 \h </w:instrText>
            </w:r>
            <w:r w:rsidR="00DF4655">
              <w:rPr>
                <w:noProof/>
                <w:webHidden/>
              </w:rPr>
            </w:r>
            <w:r w:rsidR="00DF4655">
              <w:rPr>
                <w:noProof/>
                <w:webHidden/>
              </w:rPr>
              <w:fldChar w:fldCharType="separate"/>
            </w:r>
            <w:r w:rsidR="00DF4655">
              <w:rPr>
                <w:noProof/>
                <w:webHidden/>
              </w:rPr>
              <w:t>9</w:t>
            </w:r>
            <w:r w:rsidR="00DF4655">
              <w:rPr>
                <w:noProof/>
                <w:webHidden/>
              </w:rPr>
              <w:fldChar w:fldCharType="end"/>
            </w:r>
          </w:hyperlink>
        </w:p>
        <w:p w14:paraId="28AD1A73" w14:textId="02E538A2"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4" w:history="1">
            <w:r w:rsidR="00DF4655" w:rsidRPr="0069582D">
              <w:rPr>
                <w:rStyle w:val="Hyperlink"/>
                <w:rFonts w:asciiTheme="majorHAnsi" w:hAnsiTheme="majorHAnsi"/>
                <w:noProof/>
              </w:rPr>
              <w:t>11</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Stage Two - Requesting a Review of the Appeal Outcome</w:t>
            </w:r>
            <w:r w:rsidR="00DF4655">
              <w:rPr>
                <w:noProof/>
                <w:webHidden/>
              </w:rPr>
              <w:tab/>
            </w:r>
            <w:r w:rsidR="00DF4655">
              <w:rPr>
                <w:noProof/>
                <w:webHidden/>
              </w:rPr>
              <w:fldChar w:fldCharType="begin"/>
            </w:r>
            <w:r w:rsidR="00DF4655">
              <w:rPr>
                <w:noProof/>
                <w:webHidden/>
              </w:rPr>
              <w:instrText xml:space="preserve"> PAGEREF _Toc168317354 \h </w:instrText>
            </w:r>
            <w:r w:rsidR="00DF4655">
              <w:rPr>
                <w:noProof/>
                <w:webHidden/>
              </w:rPr>
            </w:r>
            <w:r w:rsidR="00DF4655">
              <w:rPr>
                <w:noProof/>
                <w:webHidden/>
              </w:rPr>
              <w:fldChar w:fldCharType="separate"/>
            </w:r>
            <w:r w:rsidR="00DF4655">
              <w:rPr>
                <w:noProof/>
                <w:webHidden/>
              </w:rPr>
              <w:t>10</w:t>
            </w:r>
            <w:r w:rsidR="00DF4655">
              <w:rPr>
                <w:noProof/>
                <w:webHidden/>
              </w:rPr>
              <w:fldChar w:fldCharType="end"/>
            </w:r>
          </w:hyperlink>
        </w:p>
        <w:p w14:paraId="13DC7077" w14:textId="64FD311E"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5" w:history="1">
            <w:r w:rsidR="00DF4655" w:rsidRPr="0069582D">
              <w:rPr>
                <w:rStyle w:val="Hyperlink"/>
                <w:rFonts w:asciiTheme="majorHAnsi" w:hAnsiTheme="majorHAnsi"/>
                <w:noProof/>
              </w:rPr>
              <w:t>12</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Office of the Independent Adjudicator</w:t>
            </w:r>
            <w:r w:rsidR="00DF4655">
              <w:rPr>
                <w:noProof/>
                <w:webHidden/>
              </w:rPr>
              <w:tab/>
            </w:r>
            <w:r w:rsidR="00DF4655">
              <w:rPr>
                <w:noProof/>
                <w:webHidden/>
              </w:rPr>
              <w:fldChar w:fldCharType="begin"/>
            </w:r>
            <w:r w:rsidR="00DF4655">
              <w:rPr>
                <w:noProof/>
                <w:webHidden/>
              </w:rPr>
              <w:instrText xml:space="preserve"> PAGEREF _Toc168317355 \h </w:instrText>
            </w:r>
            <w:r w:rsidR="00DF4655">
              <w:rPr>
                <w:noProof/>
                <w:webHidden/>
              </w:rPr>
            </w:r>
            <w:r w:rsidR="00DF4655">
              <w:rPr>
                <w:noProof/>
                <w:webHidden/>
              </w:rPr>
              <w:fldChar w:fldCharType="separate"/>
            </w:r>
            <w:r w:rsidR="00DF4655">
              <w:rPr>
                <w:noProof/>
                <w:webHidden/>
              </w:rPr>
              <w:t>10</w:t>
            </w:r>
            <w:r w:rsidR="00DF4655">
              <w:rPr>
                <w:noProof/>
                <w:webHidden/>
              </w:rPr>
              <w:fldChar w:fldCharType="end"/>
            </w:r>
          </w:hyperlink>
        </w:p>
        <w:p w14:paraId="0AD35209" w14:textId="74D65FF2"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6" w:history="1">
            <w:r w:rsidR="00DF4655" w:rsidRPr="0069582D">
              <w:rPr>
                <w:rStyle w:val="Hyperlink"/>
                <w:rFonts w:asciiTheme="majorHAnsi" w:hAnsiTheme="majorHAnsi"/>
                <w:noProof/>
              </w:rPr>
              <w:t>13</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Related Policies and Procedures</w:t>
            </w:r>
            <w:r w:rsidR="00DF4655">
              <w:rPr>
                <w:noProof/>
                <w:webHidden/>
              </w:rPr>
              <w:tab/>
            </w:r>
            <w:r w:rsidR="00DF4655">
              <w:rPr>
                <w:noProof/>
                <w:webHidden/>
              </w:rPr>
              <w:fldChar w:fldCharType="begin"/>
            </w:r>
            <w:r w:rsidR="00DF4655">
              <w:rPr>
                <w:noProof/>
                <w:webHidden/>
              </w:rPr>
              <w:instrText xml:space="preserve"> PAGEREF _Toc168317356 \h </w:instrText>
            </w:r>
            <w:r w:rsidR="00DF4655">
              <w:rPr>
                <w:noProof/>
                <w:webHidden/>
              </w:rPr>
            </w:r>
            <w:r w:rsidR="00DF4655">
              <w:rPr>
                <w:noProof/>
                <w:webHidden/>
              </w:rPr>
              <w:fldChar w:fldCharType="separate"/>
            </w:r>
            <w:r w:rsidR="00DF4655">
              <w:rPr>
                <w:noProof/>
                <w:webHidden/>
              </w:rPr>
              <w:t>11</w:t>
            </w:r>
            <w:r w:rsidR="00DF4655">
              <w:rPr>
                <w:noProof/>
                <w:webHidden/>
              </w:rPr>
              <w:fldChar w:fldCharType="end"/>
            </w:r>
          </w:hyperlink>
        </w:p>
        <w:p w14:paraId="67FEDDB6" w14:textId="267D879B" w:rsidR="00DF4655" w:rsidRDefault="00F74F00">
          <w:pPr>
            <w:pStyle w:val="TOC1"/>
            <w:tabs>
              <w:tab w:val="left" w:pos="720"/>
            </w:tabs>
            <w:rPr>
              <w:rFonts w:asciiTheme="minorHAnsi" w:eastAsiaTheme="minorEastAsia" w:hAnsiTheme="minorHAnsi"/>
              <w:noProof/>
              <w:color w:val="auto"/>
              <w:kern w:val="2"/>
              <w:szCs w:val="24"/>
              <w:lang w:eastAsia="en-GB"/>
              <w14:ligatures w14:val="standardContextual"/>
            </w:rPr>
          </w:pPr>
          <w:hyperlink w:anchor="_Toc168317357" w:history="1">
            <w:r w:rsidR="00DF4655" w:rsidRPr="0069582D">
              <w:rPr>
                <w:rStyle w:val="Hyperlink"/>
                <w:rFonts w:asciiTheme="majorHAnsi" w:hAnsiTheme="majorHAnsi"/>
                <w:noProof/>
              </w:rPr>
              <w:t>14</w:t>
            </w:r>
            <w:r w:rsidR="00DF4655">
              <w:rPr>
                <w:rFonts w:asciiTheme="minorHAnsi" w:eastAsiaTheme="minorEastAsia" w:hAnsiTheme="minorHAnsi"/>
                <w:noProof/>
                <w:color w:val="auto"/>
                <w:kern w:val="2"/>
                <w:szCs w:val="24"/>
                <w:lang w:eastAsia="en-GB"/>
                <w14:ligatures w14:val="standardContextual"/>
              </w:rPr>
              <w:tab/>
            </w:r>
            <w:r w:rsidR="00DF4655" w:rsidRPr="0069582D">
              <w:rPr>
                <w:rStyle w:val="Hyperlink"/>
                <w:noProof/>
              </w:rPr>
              <w:t>Review and Approval</w:t>
            </w:r>
            <w:r w:rsidR="00DF4655">
              <w:rPr>
                <w:noProof/>
                <w:webHidden/>
              </w:rPr>
              <w:tab/>
            </w:r>
            <w:r w:rsidR="00DF4655">
              <w:rPr>
                <w:noProof/>
                <w:webHidden/>
              </w:rPr>
              <w:fldChar w:fldCharType="begin"/>
            </w:r>
            <w:r w:rsidR="00DF4655">
              <w:rPr>
                <w:noProof/>
                <w:webHidden/>
              </w:rPr>
              <w:instrText xml:space="preserve"> PAGEREF _Toc168317357 \h </w:instrText>
            </w:r>
            <w:r w:rsidR="00DF4655">
              <w:rPr>
                <w:noProof/>
                <w:webHidden/>
              </w:rPr>
            </w:r>
            <w:r w:rsidR="00DF4655">
              <w:rPr>
                <w:noProof/>
                <w:webHidden/>
              </w:rPr>
              <w:fldChar w:fldCharType="separate"/>
            </w:r>
            <w:r w:rsidR="00DF4655">
              <w:rPr>
                <w:noProof/>
                <w:webHidden/>
              </w:rPr>
              <w:t>11</w:t>
            </w:r>
            <w:r w:rsidR="00DF4655">
              <w:rPr>
                <w:noProof/>
                <w:webHidden/>
              </w:rPr>
              <w:fldChar w:fldCharType="end"/>
            </w:r>
          </w:hyperlink>
        </w:p>
        <w:p w14:paraId="246752F0" w14:textId="556E3BF9" w:rsidR="00176A6B" w:rsidRDefault="00176A6B">
          <w:r w:rsidRPr="00A10647">
            <w:rPr>
              <w:color w:val="2B579A"/>
              <w:szCs w:val="24"/>
              <w:shd w:val="clear" w:color="auto" w:fill="E6E6E6"/>
            </w:rPr>
            <w:fldChar w:fldCharType="end"/>
          </w:r>
        </w:p>
      </w:sdtContent>
    </w:sdt>
    <w:p w14:paraId="39D33F5A" w14:textId="73B26835" w:rsidR="00CB5D44" w:rsidRDefault="00CB5D44">
      <w:r>
        <w:br w:type="page"/>
      </w:r>
    </w:p>
    <w:p w14:paraId="295717A1" w14:textId="0B5EE500" w:rsidR="0077217C" w:rsidRDefault="0020532E" w:rsidP="009359B4">
      <w:pPr>
        <w:pStyle w:val="Title"/>
      </w:pPr>
      <w:r>
        <w:lastRenderedPageBreak/>
        <w:t xml:space="preserve">Appeals Procedure </w:t>
      </w:r>
      <w:r w:rsidR="009947BC">
        <w:t>–</w:t>
      </w:r>
      <w:r>
        <w:t xml:space="preserve"> Postgrad</w:t>
      </w:r>
      <w:r w:rsidR="009947BC">
        <w:t>uate Research Degrees</w:t>
      </w:r>
    </w:p>
    <w:p w14:paraId="5D1F0FA9" w14:textId="51D16197" w:rsidR="0020532E" w:rsidRDefault="00EA69F4" w:rsidP="0020532E">
      <w:pPr>
        <w:pStyle w:val="Heading1"/>
      </w:pPr>
      <w:bookmarkStart w:id="8" w:name="_Toc168317344"/>
      <w:r>
        <w:t>Introduction</w:t>
      </w:r>
      <w:bookmarkEnd w:id="8"/>
    </w:p>
    <w:p w14:paraId="6EEDA751" w14:textId="33D713CB" w:rsidR="0020532E" w:rsidRPr="00FE2CC1" w:rsidRDefault="0020532E" w:rsidP="009947BC">
      <w:pPr>
        <w:pStyle w:val="Heading2"/>
        <w:rPr>
          <w:color w:val="auto"/>
        </w:rPr>
      </w:pPr>
      <w:r w:rsidRPr="00FE2CC1">
        <w:rPr>
          <w:color w:val="auto"/>
        </w:rPr>
        <w:t>This appeals procedure applies to students enrolled on the below programmes which come under the Postgraduate Research Degree regulations:</w:t>
      </w:r>
    </w:p>
    <w:p w14:paraId="2E38D3BA" w14:textId="77777777" w:rsidR="0020532E" w:rsidRPr="00FE2CC1" w:rsidRDefault="0020532E" w:rsidP="00A47EBF">
      <w:pPr>
        <w:pStyle w:val="ListParagraph"/>
        <w:numPr>
          <w:ilvl w:val="0"/>
          <w:numId w:val="3"/>
        </w:numPr>
        <w:rPr>
          <w:color w:val="auto"/>
        </w:rPr>
      </w:pPr>
      <w:r w:rsidRPr="00FE2CC1">
        <w:rPr>
          <w:color w:val="auto"/>
        </w:rPr>
        <w:t>PhD by Research</w:t>
      </w:r>
    </w:p>
    <w:p w14:paraId="551F3F71" w14:textId="77777777" w:rsidR="0020532E" w:rsidRPr="00FE2CC1" w:rsidRDefault="0020532E" w:rsidP="00A47EBF">
      <w:pPr>
        <w:pStyle w:val="ListParagraph"/>
        <w:numPr>
          <w:ilvl w:val="0"/>
          <w:numId w:val="3"/>
        </w:numPr>
        <w:rPr>
          <w:color w:val="auto"/>
        </w:rPr>
      </w:pPr>
      <w:r w:rsidRPr="00FE2CC1">
        <w:rPr>
          <w:color w:val="auto"/>
        </w:rPr>
        <w:t>PhD by Published Works</w:t>
      </w:r>
    </w:p>
    <w:p w14:paraId="2AD1A6B9" w14:textId="77777777" w:rsidR="0020532E" w:rsidRPr="00FE2CC1" w:rsidRDefault="0020532E" w:rsidP="00A47EBF">
      <w:pPr>
        <w:pStyle w:val="ListParagraph"/>
        <w:numPr>
          <w:ilvl w:val="0"/>
          <w:numId w:val="3"/>
        </w:numPr>
        <w:rPr>
          <w:color w:val="auto"/>
        </w:rPr>
      </w:pPr>
      <w:r w:rsidRPr="00FE2CC1">
        <w:rPr>
          <w:color w:val="auto"/>
        </w:rPr>
        <w:t>MPhil</w:t>
      </w:r>
    </w:p>
    <w:p w14:paraId="47F5C46C" w14:textId="77777777" w:rsidR="0020532E" w:rsidRPr="00FE2CC1" w:rsidRDefault="0020532E" w:rsidP="00A47EBF">
      <w:pPr>
        <w:pStyle w:val="ListParagraph"/>
        <w:numPr>
          <w:ilvl w:val="0"/>
          <w:numId w:val="3"/>
        </w:numPr>
        <w:rPr>
          <w:color w:val="auto"/>
        </w:rPr>
      </w:pPr>
      <w:proofErr w:type="spellStart"/>
      <w:r w:rsidRPr="00FE2CC1">
        <w:rPr>
          <w:color w:val="auto"/>
        </w:rPr>
        <w:t>MRes</w:t>
      </w:r>
      <w:proofErr w:type="spellEnd"/>
      <w:r w:rsidRPr="00FE2CC1">
        <w:rPr>
          <w:color w:val="auto"/>
        </w:rPr>
        <w:t xml:space="preserve"> Management</w:t>
      </w:r>
    </w:p>
    <w:p w14:paraId="3A7D4C6F" w14:textId="77777777" w:rsidR="0020532E" w:rsidRPr="00FE2CC1" w:rsidRDefault="0020532E" w:rsidP="00A47EBF">
      <w:pPr>
        <w:pStyle w:val="ListParagraph"/>
        <w:numPr>
          <w:ilvl w:val="0"/>
          <w:numId w:val="3"/>
        </w:numPr>
        <w:rPr>
          <w:color w:val="auto"/>
        </w:rPr>
      </w:pPr>
      <w:r w:rsidRPr="00FE2CC1">
        <w:rPr>
          <w:color w:val="auto"/>
        </w:rPr>
        <w:t>Professional Doctorate*</w:t>
      </w:r>
    </w:p>
    <w:p w14:paraId="73EA190F" w14:textId="77777777" w:rsidR="0020532E" w:rsidRPr="00FE2CC1" w:rsidRDefault="0020532E" w:rsidP="00A47EBF">
      <w:pPr>
        <w:pStyle w:val="ListParagraph"/>
        <w:numPr>
          <w:ilvl w:val="0"/>
          <w:numId w:val="3"/>
        </w:numPr>
        <w:rPr>
          <w:color w:val="auto"/>
        </w:rPr>
      </w:pPr>
      <w:r w:rsidRPr="00FE2CC1">
        <w:rPr>
          <w:color w:val="auto"/>
        </w:rPr>
        <w:t>Taught Doctorate*</w:t>
      </w:r>
    </w:p>
    <w:p w14:paraId="76D05360" w14:textId="77777777" w:rsidR="0020532E" w:rsidRPr="00FE2CC1" w:rsidRDefault="0020532E" w:rsidP="0020532E">
      <w:pPr>
        <w:rPr>
          <w:i/>
          <w:iCs/>
          <w:color w:val="auto"/>
        </w:rPr>
      </w:pPr>
      <w:r w:rsidRPr="00FE2CC1">
        <w:rPr>
          <w:i/>
          <w:iCs/>
          <w:color w:val="auto"/>
        </w:rPr>
        <w:t>*</w:t>
      </w:r>
      <w:proofErr w:type="gramStart"/>
      <w:r w:rsidRPr="00FE2CC1">
        <w:rPr>
          <w:i/>
          <w:iCs/>
          <w:color w:val="auto"/>
        </w:rPr>
        <w:t>except</w:t>
      </w:r>
      <w:proofErr w:type="gramEnd"/>
      <w:r w:rsidRPr="00FE2CC1">
        <w:rPr>
          <w:i/>
          <w:iCs/>
          <w:color w:val="auto"/>
        </w:rPr>
        <w:t xml:space="preserve"> in relation to taught modules, see below</w:t>
      </w:r>
    </w:p>
    <w:p w14:paraId="311B7EB0" w14:textId="32DF6208" w:rsidR="0020532E" w:rsidRPr="00FE2CC1" w:rsidRDefault="0020532E" w:rsidP="009947BC">
      <w:pPr>
        <w:pStyle w:val="Heading2"/>
        <w:rPr>
          <w:color w:val="auto"/>
        </w:rPr>
      </w:pPr>
      <w:r w:rsidRPr="00FE2CC1">
        <w:rPr>
          <w:color w:val="auto"/>
        </w:rPr>
        <w:t xml:space="preserve">Appeals relating to academic outcomes for all taught programmes, including the below, should be made under the </w:t>
      </w:r>
      <w:r w:rsidR="006C24AB" w:rsidRPr="00FE2CC1">
        <w:rPr>
          <w:color w:val="auto"/>
        </w:rPr>
        <w:t xml:space="preserve">7.4 </w:t>
      </w:r>
      <w:r w:rsidRPr="00FE2CC1">
        <w:rPr>
          <w:color w:val="auto"/>
        </w:rPr>
        <w:t>Appeals Procedure (Exam Board Decisions):</w:t>
      </w:r>
    </w:p>
    <w:p w14:paraId="06D806AC" w14:textId="77777777" w:rsidR="0020532E" w:rsidRPr="00FE2CC1" w:rsidRDefault="0020532E" w:rsidP="00A47EBF">
      <w:pPr>
        <w:pStyle w:val="ListParagraph"/>
        <w:numPr>
          <w:ilvl w:val="0"/>
          <w:numId w:val="3"/>
        </w:numPr>
        <w:rPr>
          <w:color w:val="auto"/>
        </w:rPr>
      </w:pPr>
      <w:r w:rsidRPr="00FE2CC1">
        <w:rPr>
          <w:color w:val="auto"/>
        </w:rPr>
        <w:t>Taught Doctorate (taught modules)</w:t>
      </w:r>
    </w:p>
    <w:p w14:paraId="2884BB12" w14:textId="77777777" w:rsidR="0020532E" w:rsidRPr="00FE2CC1" w:rsidRDefault="0020532E" w:rsidP="00A47EBF">
      <w:pPr>
        <w:pStyle w:val="ListParagraph"/>
        <w:numPr>
          <w:ilvl w:val="0"/>
          <w:numId w:val="3"/>
        </w:numPr>
        <w:rPr>
          <w:color w:val="auto"/>
        </w:rPr>
      </w:pPr>
      <w:r w:rsidRPr="00FE2CC1">
        <w:rPr>
          <w:color w:val="auto"/>
        </w:rPr>
        <w:t>Professional Doctorate (taught modules)</w:t>
      </w:r>
    </w:p>
    <w:p w14:paraId="07095911" w14:textId="77777777" w:rsidR="0020532E" w:rsidRPr="00FE2CC1" w:rsidRDefault="0020532E" w:rsidP="00A47EBF">
      <w:pPr>
        <w:pStyle w:val="ListParagraph"/>
        <w:numPr>
          <w:ilvl w:val="0"/>
          <w:numId w:val="3"/>
        </w:numPr>
        <w:rPr>
          <w:color w:val="auto"/>
        </w:rPr>
      </w:pPr>
      <w:proofErr w:type="spellStart"/>
      <w:proofErr w:type="gramStart"/>
      <w:r w:rsidRPr="00FE2CC1">
        <w:rPr>
          <w:color w:val="auto"/>
        </w:rPr>
        <w:t>Master’s</w:t>
      </w:r>
      <w:proofErr w:type="spellEnd"/>
      <w:r w:rsidRPr="00FE2CC1">
        <w:rPr>
          <w:color w:val="auto"/>
        </w:rPr>
        <w:t xml:space="preserve"> of Research</w:t>
      </w:r>
      <w:proofErr w:type="gramEnd"/>
      <w:r w:rsidRPr="00FE2CC1">
        <w:rPr>
          <w:color w:val="auto"/>
        </w:rPr>
        <w:t xml:space="preserve"> (</w:t>
      </w:r>
      <w:proofErr w:type="spellStart"/>
      <w:r w:rsidRPr="00FE2CC1">
        <w:rPr>
          <w:color w:val="auto"/>
        </w:rPr>
        <w:t>MRes</w:t>
      </w:r>
      <w:proofErr w:type="spellEnd"/>
      <w:r w:rsidRPr="00FE2CC1">
        <w:rPr>
          <w:color w:val="auto"/>
        </w:rPr>
        <w:t>)</w:t>
      </w:r>
    </w:p>
    <w:p w14:paraId="0CAA8525" w14:textId="77777777" w:rsidR="0020532E" w:rsidRPr="00FE2CC1" w:rsidRDefault="0020532E" w:rsidP="006C24AB">
      <w:pPr>
        <w:pStyle w:val="Heading2"/>
        <w:rPr>
          <w:color w:val="auto"/>
        </w:rPr>
      </w:pPr>
      <w:r w:rsidRPr="00FE2CC1">
        <w:rPr>
          <w:color w:val="auto"/>
        </w:rPr>
        <w:t xml:space="preserve">The Cardiff Metropolitan University (the University) appeals procedures are for students who wish to challenge a formal outcome relating to academic progress or achievement. The </w:t>
      </w:r>
      <w:hyperlink r:id="rId13" w:history="1">
        <w:r w:rsidRPr="004E5416">
          <w:rPr>
            <w:rStyle w:val="Hyperlink"/>
          </w:rPr>
          <w:t>Complaints</w:t>
        </w:r>
      </w:hyperlink>
      <w:r>
        <w:t xml:space="preserve"> </w:t>
      </w:r>
      <w:r w:rsidRPr="00FE2CC1">
        <w:rPr>
          <w:color w:val="auto"/>
        </w:rPr>
        <w:t>procedure deals with complaints and grievances against the University and/or its staff which are not seeking a revised academic outcome.</w:t>
      </w:r>
    </w:p>
    <w:p w14:paraId="04C2971D" w14:textId="74D215FC" w:rsidR="0020532E" w:rsidRPr="00FE2CC1" w:rsidRDefault="0020532E" w:rsidP="006C24AB">
      <w:pPr>
        <w:pStyle w:val="Heading2"/>
        <w:rPr>
          <w:color w:val="auto"/>
        </w:rPr>
      </w:pPr>
      <w:r w:rsidRPr="00FE2CC1">
        <w:rPr>
          <w:color w:val="auto"/>
        </w:rPr>
        <w:t>All appeals must be submitted by the student themselves</w:t>
      </w:r>
      <w:r w:rsidR="00B12B04" w:rsidRPr="00FE2CC1">
        <w:rPr>
          <w:color w:val="auto"/>
        </w:rPr>
        <w:t xml:space="preserve"> (although additional support will be available if required, see </w:t>
      </w:r>
      <w:r w:rsidR="00A670AF" w:rsidRPr="00FE2CC1">
        <w:rPr>
          <w:color w:val="auto"/>
        </w:rPr>
        <w:t>4.7</w:t>
      </w:r>
      <w:r w:rsidR="00B12B04" w:rsidRPr="00FE2CC1">
        <w:rPr>
          <w:color w:val="auto"/>
        </w:rPr>
        <w:t>).</w:t>
      </w:r>
    </w:p>
    <w:p w14:paraId="382BEFA1" w14:textId="77777777" w:rsidR="0020532E" w:rsidRPr="00FE2CC1" w:rsidRDefault="0020532E" w:rsidP="009C509D">
      <w:pPr>
        <w:pStyle w:val="Heading2"/>
        <w:rPr>
          <w:color w:val="auto"/>
        </w:rPr>
      </w:pPr>
      <w:r w:rsidRPr="00FE2CC1">
        <w:rPr>
          <w:color w:val="auto"/>
        </w:rPr>
        <w:t>All appeals are administered by Cardiff Metropolitan University Registry Services.</w:t>
      </w:r>
    </w:p>
    <w:p w14:paraId="1D97381F" w14:textId="33E83BC0" w:rsidR="00356F54" w:rsidRPr="00FE2CC1" w:rsidRDefault="00356F54" w:rsidP="00356F54">
      <w:pPr>
        <w:pStyle w:val="Heading2"/>
        <w:rPr>
          <w:color w:val="auto"/>
        </w:rPr>
      </w:pPr>
      <w:r w:rsidRPr="00FE2CC1">
        <w:rPr>
          <w:color w:val="auto"/>
        </w:rPr>
        <w:t>Under this procedure, a student may submit an appeal in relation to:</w:t>
      </w:r>
    </w:p>
    <w:p w14:paraId="0894C0E5" w14:textId="77777777" w:rsidR="0020532E" w:rsidRPr="00FE2CC1" w:rsidRDefault="0020532E" w:rsidP="00A47EBF">
      <w:pPr>
        <w:pStyle w:val="ListParagraph"/>
        <w:numPr>
          <w:ilvl w:val="0"/>
          <w:numId w:val="4"/>
        </w:numPr>
        <w:rPr>
          <w:color w:val="auto"/>
        </w:rPr>
      </w:pPr>
      <w:r w:rsidRPr="00FE2CC1">
        <w:rPr>
          <w:color w:val="auto"/>
        </w:rPr>
        <w:t xml:space="preserve">an Examination (Viva) outcome, where an academic decision has been made by an Examination </w:t>
      </w:r>
      <w:proofErr w:type="gramStart"/>
      <w:r w:rsidRPr="00FE2CC1">
        <w:rPr>
          <w:color w:val="auto"/>
        </w:rPr>
        <w:t>Board;</w:t>
      </w:r>
      <w:proofErr w:type="gramEnd"/>
    </w:p>
    <w:p w14:paraId="4DB8B6A8" w14:textId="77777777" w:rsidR="0020532E" w:rsidRPr="00FE2CC1" w:rsidRDefault="0020532E" w:rsidP="0020532E">
      <w:pPr>
        <w:pStyle w:val="ListParagraph"/>
        <w:rPr>
          <w:color w:val="auto"/>
        </w:rPr>
      </w:pPr>
    </w:p>
    <w:p w14:paraId="42441DFA" w14:textId="77777777" w:rsidR="0020532E" w:rsidRPr="00FE2CC1" w:rsidRDefault="0020532E" w:rsidP="00A47EBF">
      <w:pPr>
        <w:pStyle w:val="ListParagraph"/>
        <w:numPr>
          <w:ilvl w:val="0"/>
          <w:numId w:val="4"/>
        </w:numPr>
        <w:rPr>
          <w:color w:val="auto"/>
        </w:rPr>
      </w:pPr>
      <w:r w:rsidRPr="00FE2CC1">
        <w:rPr>
          <w:color w:val="auto"/>
        </w:rPr>
        <w:t>a decision made by the Research Degrees Group relating to progression within a programme, or withdrawal.</w:t>
      </w:r>
    </w:p>
    <w:p w14:paraId="1E931423" w14:textId="77777777" w:rsidR="00A05E79" w:rsidRDefault="00A05E79" w:rsidP="00EC2C8F"/>
    <w:p w14:paraId="2662E946" w14:textId="77777777" w:rsidR="007A3157" w:rsidRPr="00EC2C8F" w:rsidRDefault="007A3157" w:rsidP="00EC2C8F"/>
    <w:p w14:paraId="1971254E" w14:textId="2C5DC0B4" w:rsidR="00D973DB" w:rsidRDefault="00501729" w:rsidP="007F1E80">
      <w:pPr>
        <w:pStyle w:val="Heading1"/>
      </w:pPr>
      <w:bookmarkStart w:id="9" w:name="_Toc168317345"/>
      <w:r>
        <w:lastRenderedPageBreak/>
        <w:t xml:space="preserve">Grounds for </w:t>
      </w:r>
      <w:r w:rsidRPr="007F1E80">
        <w:t>Appeal</w:t>
      </w:r>
      <w:bookmarkEnd w:id="9"/>
    </w:p>
    <w:p w14:paraId="17BEFC63" w14:textId="77777777" w:rsidR="00FA16AD" w:rsidRPr="001B008D" w:rsidRDefault="00FA16AD" w:rsidP="00FA16AD">
      <w:pPr>
        <w:pStyle w:val="Heading2"/>
        <w:rPr>
          <w:b/>
          <w:bCs/>
        </w:rPr>
      </w:pPr>
      <w:r w:rsidRPr="001B008D">
        <w:rPr>
          <w:b/>
          <w:bCs/>
        </w:rPr>
        <w:t>Appeal against an Examination (Viva) Outcome</w:t>
      </w:r>
    </w:p>
    <w:p w14:paraId="4FE2BAB0" w14:textId="77777777" w:rsidR="001B008D" w:rsidRPr="00FE2CC1" w:rsidRDefault="001B008D" w:rsidP="00D130E4">
      <w:pPr>
        <w:pStyle w:val="Heading3"/>
        <w:rPr>
          <w:b/>
          <w:color w:val="auto"/>
        </w:rPr>
      </w:pPr>
      <w:r w:rsidRPr="00FE2CC1">
        <w:rPr>
          <w:color w:val="auto"/>
        </w:rPr>
        <w:t>Cardiff Metropolitan University will only consider appeals on one or more of the following grounds:</w:t>
      </w:r>
    </w:p>
    <w:p w14:paraId="7CB2CB31" w14:textId="77777777" w:rsidR="00D130E4" w:rsidRPr="00FE2CC1" w:rsidRDefault="00D130E4" w:rsidP="00D130E4">
      <w:pPr>
        <w:pStyle w:val="Heading3"/>
        <w:numPr>
          <w:ilvl w:val="0"/>
          <w:numId w:val="0"/>
        </w:numPr>
        <w:ind w:left="720"/>
        <w:rPr>
          <w:b/>
          <w:color w:val="auto"/>
        </w:rPr>
      </w:pPr>
    </w:p>
    <w:p w14:paraId="4820D2AB" w14:textId="42D439E7" w:rsidR="001B008D" w:rsidRPr="00FE2CC1" w:rsidRDefault="001B008D" w:rsidP="00A47EBF">
      <w:pPr>
        <w:pStyle w:val="ListParagraph"/>
        <w:numPr>
          <w:ilvl w:val="0"/>
          <w:numId w:val="5"/>
        </w:numPr>
        <w:rPr>
          <w:color w:val="auto"/>
        </w:rPr>
      </w:pPr>
      <w:r w:rsidRPr="00FE2CC1">
        <w:rPr>
          <w:color w:val="auto"/>
        </w:rPr>
        <w:t xml:space="preserve">defects or irregularities in the conduct of the examination or viva (or in the instructions, advice or administrative processes relating to the examination) which may </w:t>
      </w:r>
      <w:r w:rsidR="00AB39F6" w:rsidRPr="00FE2CC1">
        <w:rPr>
          <w:color w:val="auto"/>
        </w:rPr>
        <w:t xml:space="preserve">reasonably </w:t>
      </w:r>
      <w:r w:rsidRPr="00FE2CC1">
        <w:rPr>
          <w:color w:val="auto"/>
        </w:rPr>
        <w:t xml:space="preserve">have affected the examiners’ </w:t>
      </w:r>
      <w:proofErr w:type="gramStart"/>
      <w:r w:rsidRPr="00FE2CC1">
        <w:rPr>
          <w:color w:val="auto"/>
        </w:rPr>
        <w:t>decision-making;</w:t>
      </w:r>
      <w:proofErr w:type="gramEnd"/>
    </w:p>
    <w:p w14:paraId="2E3ED711" w14:textId="77777777" w:rsidR="001B008D" w:rsidRPr="00FE2CC1" w:rsidRDefault="001B008D" w:rsidP="001B008D">
      <w:pPr>
        <w:pStyle w:val="ListParagraph"/>
        <w:ind w:left="1080"/>
        <w:rPr>
          <w:color w:val="auto"/>
        </w:rPr>
      </w:pPr>
    </w:p>
    <w:p w14:paraId="400B6BA7" w14:textId="7ABA2B3F" w:rsidR="00622DA5" w:rsidRPr="00FE2CC1" w:rsidRDefault="001B008D" w:rsidP="00A47EBF">
      <w:pPr>
        <w:pStyle w:val="ListParagraph"/>
        <w:numPr>
          <w:ilvl w:val="0"/>
          <w:numId w:val="5"/>
        </w:numPr>
        <w:rPr>
          <w:color w:val="auto"/>
        </w:rPr>
      </w:pPr>
      <w:r w:rsidRPr="00FE2CC1">
        <w:rPr>
          <w:color w:val="auto"/>
        </w:rPr>
        <w:t xml:space="preserve">exceptional personal circumstances (see </w:t>
      </w:r>
      <w:r w:rsidR="00D130E4" w:rsidRPr="00FE2CC1">
        <w:rPr>
          <w:color w:val="auto"/>
        </w:rPr>
        <w:t>3</w:t>
      </w:r>
      <w:r w:rsidRPr="00FE2CC1">
        <w:rPr>
          <w:color w:val="auto"/>
        </w:rPr>
        <w:t xml:space="preserve"> below) which could have had an adverse impact on the </w:t>
      </w:r>
      <w:r w:rsidR="000F733A" w:rsidRPr="00FE2CC1">
        <w:rPr>
          <w:color w:val="auto"/>
        </w:rPr>
        <w:t>student’s</w:t>
      </w:r>
      <w:r w:rsidRPr="00FE2CC1">
        <w:rPr>
          <w:color w:val="auto"/>
        </w:rPr>
        <w:t xml:space="preserve"> </w:t>
      </w:r>
      <w:proofErr w:type="gramStart"/>
      <w:r w:rsidRPr="00FE2CC1">
        <w:rPr>
          <w:color w:val="auto"/>
        </w:rPr>
        <w:t>performance;</w:t>
      </w:r>
      <w:proofErr w:type="gramEnd"/>
    </w:p>
    <w:p w14:paraId="112DB6BE" w14:textId="77777777" w:rsidR="00622DA5" w:rsidRPr="00622DA5" w:rsidRDefault="00622DA5" w:rsidP="00622DA5">
      <w:pPr>
        <w:pStyle w:val="ListParagraph"/>
        <w:rPr>
          <w:i/>
          <w:color w:val="0070C0"/>
        </w:rPr>
      </w:pPr>
    </w:p>
    <w:p w14:paraId="35BC2315" w14:textId="3DE9A11A" w:rsidR="00817A76" w:rsidRPr="00622DA5" w:rsidRDefault="001B008D" w:rsidP="00622DA5">
      <w:pPr>
        <w:pStyle w:val="ListParagraph"/>
      </w:pPr>
      <w:r w:rsidRPr="00622DA5">
        <w:rPr>
          <w:i/>
          <w:color w:val="0070C0"/>
        </w:rPr>
        <w:t>Students must demonstrate good reason why personal circumstances could not have been reported to the Exam</w:t>
      </w:r>
      <w:r w:rsidR="001E0EA2">
        <w:rPr>
          <w:i/>
          <w:color w:val="0070C0"/>
        </w:rPr>
        <w:t>ination</w:t>
      </w:r>
      <w:r w:rsidRPr="00622DA5">
        <w:rPr>
          <w:i/>
          <w:color w:val="0070C0"/>
        </w:rPr>
        <w:t xml:space="preserve"> </w:t>
      </w:r>
      <w:r w:rsidR="001E0EA2">
        <w:rPr>
          <w:i/>
          <w:color w:val="0070C0"/>
        </w:rPr>
        <w:t>Panel</w:t>
      </w:r>
      <w:r w:rsidRPr="00622DA5">
        <w:rPr>
          <w:i/>
          <w:color w:val="0070C0"/>
        </w:rPr>
        <w:t xml:space="preserve"> </w:t>
      </w:r>
      <w:r w:rsidRPr="00622DA5">
        <w:rPr>
          <w:i/>
          <w:color w:val="0070C0"/>
          <w:u w:val="single"/>
        </w:rPr>
        <w:t>before</w:t>
      </w:r>
      <w:r w:rsidRPr="00622DA5">
        <w:rPr>
          <w:i/>
          <w:color w:val="0070C0"/>
        </w:rPr>
        <w:t xml:space="preserve"> its meeting. Where there is no good reason, this cannot be cited as grounds for appeal.</w:t>
      </w:r>
    </w:p>
    <w:p w14:paraId="65820A6F" w14:textId="77777777" w:rsidR="00817A76" w:rsidRPr="00817A76" w:rsidRDefault="00817A76" w:rsidP="00817A76">
      <w:pPr>
        <w:pStyle w:val="ListParagraph"/>
        <w:ind w:left="1440"/>
        <w:rPr>
          <w:i/>
          <w:color w:val="0070C0"/>
        </w:rPr>
      </w:pPr>
    </w:p>
    <w:p w14:paraId="1FA572A8" w14:textId="77777777" w:rsidR="001B008D" w:rsidRPr="00FE2CC1" w:rsidRDefault="001B008D" w:rsidP="00A47EBF">
      <w:pPr>
        <w:pStyle w:val="ListParagraph"/>
        <w:numPr>
          <w:ilvl w:val="0"/>
          <w:numId w:val="5"/>
        </w:numPr>
        <w:rPr>
          <w:color w:val="auto"/>
        </w:rPr>
      </w:pPr>
      <w:r w:rsidRPr="00FE2CC1">
        <w:rPr>
          <w:color w:val="auto"/>
        </w:rPr>
        <w:t xml:space="preserve">provision of inadequate </w:t>
      </w:r>
      <w:proofErr w:type="gramStart"/>
      <w:r w:rsidRPr="00FE2CC1">
        <w:rPr>
          <w:color w:val="auto"/>
        </w:rPr>
        <w:t>supervision;</w:t>
      </w:r>
      <w:proofErr w:type="gramEnd"/>
    </w:p>
    <w:p w14:paraId="0522DED7" w14:textId="77777777" w:rsidR="00622DA5" w:rsidRDefault="00622DA5" w:rsidP="00622DA5">
      <w:pPr>
        <w:pStyle w:val="ListParagraph"/>
      </w:pPr>
    </w:p>
    <w:p w14:paraId="5136ABC2" w14:textId="5CA88349" w:rsidR="000F733A" w:rsidRDefault="001B008D" w:rsidP="00817A76">
      <w:pPr>
        <w:pStyle w:val="ListParagraph"/>
      </w:pPr>
      <w:r>
        <w:rPr>
          <w:i/>
          <w:color w:val="0070C0"/>
        </w:rPr>
        <w:t>Students</w:t>
      </w:r>
      <w:r w:rsidRPr="00F4786A">
        <w:rPr>
          <w:i/>
          <w:color w:val="0070C0"/>
        </w:rPr>
        <w:t xml:space="preserve"> must demonstrate good reason why this was not reported in a timely way, </w:t>
      </w:r>
      <w:r w:rsidRPr="001A402B">
        <w:rPr>
          <w:i/>
          <w:color w:val="0070C0"/>
          <w:u w:val="single"/>
        </w:rPr>
        <w:t>before</w:t>
      </w:r>
      <w:r>
        <w:rPr>
          <w:i/>
          <w:color w:val="0070C0"/>
        </w:rPr>
        <w:t xml:space="preserve"> examination. Where there is no good reason, this cannot be cited as grounds for appeal.</w:t>
      </w:r>
    </w:p>
    <w:p w14:paraId="647B2D28" w14:textId="77777777" w:rsidR="00817A76" w:rsidRDefault="00817A76" w:rsidP="00817A76">
      <w:pPr>
        <w:pStyle w:val="ListParagraph"/>
      </w:pPr>
    </w:p>
    <w:p w14:paraId="292C69FB" w14:textId="5510EEBD" w:rsidR="001B008D" w:rsidRPr="00FE2CC1" w:rsidRDefault="000F733A" w:rsidP="00A47EBF">
      <w:pPr>
        <w:pStyle w:val="ListParagraph"/>
        <w:numPr>
          <w:ilvl w:val="0"/>
          <w:numId w:val="5"/>
        </w:numPr>
        <w:rPr>
          <w:color w:val="auto"/>
        </w:rPr>
      </w:pPr>
      <w:r w:rsidRPr="00FE2CC1">
        <w:rPr>
          <w:color w:val="auto"/>
        </w:rPr>
        <w:t>evidence of prejudice or inadequate assessment on the part of one or more of the examiners</w:t>
      </w:r>
      <w:r w:rsidR="005735C2" w:rsidRPr="00FE2CC1">
        <w:rPr>
          <w:color w:val="auto"/>
        </w:rPr>
        <w:t>.</w:t>
      </w:r>
    </w:p>
    <w:p w14:paraId="27EA7895" w14:textId="77777777" w:rsidR="001B008D" w:rsidRPr="00FE2CC1" w:rsidRDefault="001B008D" w:rsidP="00D130E4">
      <w:pPr>
        <w:pStyle w:val="Heading3"/>
        <w:rPr>
          <w:color w:val="auto"/>
        </w:rPr>
      </w:pPr>
      <w:r w:rsidRPr="00FE2CC1">
        <w:rPr>
          <w:color w:val="auto"/>
        </w:rPr>
        <w:t>Students cannot appeal simply on the basis that they are dissatisfied or disappointed with an examination result; such appeals question academic judgement and will not be considered.</w:t>
      </w:r>
    </w:p>
    <w:p w14:paraId="71CFB45A" w14:textId="77777777" w:rsidR="00DD0C4D" w:rsidRDefault="00DD0C4D" w:rsidP="001B008D"/>
    <w:p w14:paraId="60C199A6" w14:textId="452A808C" w:rsidR="00DD0C4D" w:rsidRPr="00876D2E" w:rsidRDefault="00DD0C4D" w:rsidP="00DD0C4D">
      <w:pPr>
        <w:pStyle w:val="Heading2"/>
        <w:rPr>
          <w:b/>
          <w:bCs/>
        </w:rPr>
      </w:pPr>
      <w:r w:rsidRPr="00876D2E">
        <w:rPr>
          <w:b/>
          <w:bCs/>
        </w:rPr>
        <w:t>Appeal against a Research Degrees Group (RDG) Outcome</w:t>
      </w:r>
    </w:p>
    <w:p w14:paraId="5BC40817" w14:textId="77777777" w:rsidR="00876D2E" w:rsidRPr="00FE2CC1" w:rsidRDefault="00876D2E" w:rsidP="00D130E4">
      <w:pPr>
        <w:pStyle w:val="Heading3"/>
        <w:rPr>
          <w:color w:val="auto"/>
        </w:rPr>
      </w:pPr>
      <w:r w:rsidRPr="00FE2CC1">
        <w:rPr>
          <w:color w:val="auto"/>
        </w:rPr>
        <w:t>A postgraduate research degree student may appeal against an RDG outcome where:</w:t>
      </w:r>
    </w:p>
    <w:p w14:paraId="12D84D35" w14:textId="77777777" w:rsidR="00D130E4" w:rsidRPr="00FE2CC1" w:rsidRDefault="00D130E4" w:rsidP="00D130E4">
      <w:pPr>
        <w:pStyle w:val="Heading3"/>
        <w:numPr>
          <w:ilvl w:val="0"/>
          <w:numId w:val="0"/>
        </w:numPr>
        <w:ind w:left="720"/>
        <w:rPr>
          <w:color w:val="auto"/>
        </w:rPr>
      </w:pPr>
    </w:p>
    <w:p w14:paraId="42E590CE" w14:textId="27D473D4" w:rsidR="00093137" w:rsidRPr="00FE2CC1" w:rsidRDefault="004D04B0" w:rsidP="00A47EBF">
      <w:pPr>
        <w:pStyle w:val="ListParagraph"/>
        <w:numPr>
          <w:ilvl w:val="0"/>
          <w:numId w:val="5"/>
        </w:numPr>
        <w:rPr>
          <w:i/>
          <w:color w:val="auto"/>
        </w:rPr>
      </w:pPr>
      <w:r w:rsidRPr="00FE2CC1">
        <w:rPr>
          <w:color w:val="auto"/>
        </w:rPr>
        <w:t xml:space="preserve">the student has been withdrawn for a lack of adherence to the designated progression requirements, but had been experiencing exceptional personal circumstances (see </w:t>
      </w:r>
      <w:r w:rsidR="00B52197" w:rsidRPr="00FE2CC1">
        <w:rPr>
          <w:color w:val="auto"/>
        </w:rPr>
        <w:t>3</w:t>
      </w:r>
      <w:r w:rsidRPr="00FE2CC1">
        <w:rPr>
          <w:color w:val="auto"/>
        </w:rPr>
        <w:t xml:space="preserve"> below) which prevented them from adhering to </w:t>
      </w:r>
      <w:proofErr w:type="gramStart"/>
      <w:r w:rsidRPr="00FE2CC1">
        <w:rPr>
          <w:color w:val="auto"/>
        </w:rPr>
        <w:t>deadlines</w:t>
      </w:r>
      <w:r w:rsidR="006268C1" w:rsidRPr="00FE2CC1">
        <w:rPr>
          <w:color w:val="auto"/>
        </w:rPr>
        <w:t>;</w:t>
      </w:r>
      <w:proofErr w:type="gramEnd"/>
    </w:p>
    <w:p w14:paraId="25F1D1EA" w14:textId="77777777" w:rsidR="00093137" w:rsidRPr="00093137" w:rsidRDefault="00093137" w:rsidP="00093137">
      <w:pPr>
        <w:pStyle w:val="ListParagraph"/>
        <w:rPr>
          <w:i/>
          <w:color w:val="0070C0"/>
        </w:rPr>
      </w:pPr>
    </w:p>
    <w:p w14:paraId="0E33712D" w14:textId="4690FA77" w:rsidR="004D04B0" w:rsidRPr="00093137" w:rsidRDefault="004D04B0" w:rsidP="00093137">
      <w:pPr>
        <w:pStyle w:val="ListParagraph"/>
        <w:spacing w:before="240"/>
        <w:rPr>
          <w:i/>
          <w:color w:val="0070C0"/>
        </w:rPr>
      </w:pPr>
      <w:r w:rsidRPr="00093137">
        <w:rPr>
          <w:i/>
          <w:color w:val="0070C0"/>
        </w:rPr>
        <w:t>Students must demonstrate good reason why they were unable to engage with formal mitigation processes, as set out in the Doctoral Degree Regulations and Doctoral Researcher Handbook. Where there is no good reason, this cannot be cited as grounds for appeal.</w:t>
      </w:r>
    </w:p>
    <w:p w14:paraId="66898E1B" w14:textId="77777777" w:rsidR="004D04B0" w:rsidRDefault="004D04B0" w:rsidP="004D04B0">
      <w:pPr>
        <w:pStyle w:val="ListParagraph"/>
        <w:ind w:left="1080"/>
      </w:pPr>
    </w:p>
    <w:p w14:paraId="7D70D367" w14:textId="77777777" w:rsidR="00093137" w:rsidRPr="00FE2CC1" w:rsidRDefault="004D04B0" w:rsidP="00A47EBF">
      <w:pPr>
        <w:pStyle w:val="ListParagraph"/>
        <w:numPr>
          <w:ilvl w:val="0"/>
          <w:numId w:val="5"/>
        </w:numPr>
        <w:rPr>
          <w:color w:val="auto"/>
        </w:rPr>
      </w:pPr>
      <w:r w:rsidRPr="00FE2CC1">
        <w:rPr>
          <w:color w:val="auto"/>
        </w:rPr>
        <w:lastRenderedPageBreak/>
        <w:t>the student has been withdrawn due to a failure to make sufficient progress or to meet the required academic standard.</w:t>
      </w:r>
    </w:p>
    <w:p w14:paraId="7516057A" w14:textId="77777777" w:rsidR="00093137" w:rsidRDefault="00093137" w:rsidP="00093137">
      <w:pPr>
        <w:pStyle w:val="ListParagraph"/>
      </w:pPr>
    </w:p>
    <w:p w14:paraId="4EAA7716" w14:textId="791BE34B" w:rsidR="004D04B0" w:rsidRPr="00093137" w:rsidRDefault="004D04B0" w:rsidP="00093137">
      <w:pPr>
        <w:pStyle w:val="ListParagraph"/>
        <w:spacing w:before="240"/>
      </w:pPr>
      <w:r w:rsidRPr="00093137">
        <w:rPr>
          <w:i/>
          <w:iCs/>
          <w:color w:val="0070C0"/>
        </w:rPr>
        <w:t xml:space="preserve">Such a decision may be made in the context of the student’s remaining candidature, i.e. if it is judged the student will not be able to complete the </w:t>
      </w:r>
      <w:r w:rsidR="006268C1">
        <w:rPr>
          <w:i/>
          <w:iCs/>
          <w:color w:val="0070C0"/>
        </w:rPr>
        <w:t>programme</w:t>
      </w:r>
      <w:r w:rsidRPr="00093137">
        <w:rPr>
          <w:i/>
          <w:iCs/>
          <w:color w:val="0070C0"/>
        </w:rPr>
        <w:t xml:space="preserve"> within the time allowed.</w:t>
      </w:r>
    </w:p>
    <w:p w14:paraId="29BCD4BA" w14:textId="77777777" w:rsidR="00DD0C4D" w:rsidRDefault="00DD0C4D" w:rsidP="00DD0C4D">
      <w:pPr>
        <w:pStyle w:val="Heading2"/>
        <w:numPr>
          <w:ilvl w:val="0"/>
          <w:numId w:val="0"/>
        </w:numPr>
      </w:pPr>
    </w:p>
    <w:p w14:paraId="3C9E9EBE" w14:textId="77777777" w:rsidR="003C5138" w:rsidRPr="003C5138" w:rsidRDefault="003C5138" w:rsidP="003C5138">
      <w:pPr>
        <w:pStyle w:val="Heading1"/>
        <w:rPr>
          <w:rFonts w:ascii="Arial" w:hAnsi="Arial"/>
          <w:color w:val="222A35" w:themeColor="text2" w:themeShade="80"/>
          <w:sz w:val="24"/>
          <w:szCs w:val="26"/>
        </w:rPr>
      </w:pPr>
      <w:bookmarkStart w:id="10" w:name="_Toc168317346"/>
      <w:r w:rsidRPr="003C5138">
        <w:t>Exceptional Personal Circumstances</w:t>
      </w:r>
      <w:bookmarkEnd w:id="10"/>
    </w:p>
    <w:p w14:paraId="2C71341A" w14:textId="146FD27E" w:rsidR="000A15D8" w:rsidRDefault="000A15D8" w:rsidP="000A15D8">
      <w:pPr>
        <w:pStyle w:val="Heading2"/>
      </w:pPr>
      <w:r w:rsidRPr="00FE2CC1">
        <w:rPr>
          <w:color w:val="auto"/>
        </w:rPr>
        <w:t xml:space="preserve">Guidance on what constitutes ‘exceptional personal circumstances’ and how they can be evidenced is found here: </w:t>
      </w:r>
      <w:hyperlink r:id="rId14" w:history="1">
        <w:r>
          <w:rPr>
            <w:rStyle w:val="Hyperlink"/>
          </w:rPr>
          <w:t>Academic Registry Appeals (cardiffmet.ac.uk)</w:t>
        </w:r>
      </w:hyperlink>
    </w:p>
    <w:p w14:paraId="0DE8852B" w14:textId="77777777" w:rsidR="000A15D8" w:rsidRPr="00FE2CC1" w:rsidRDefault="000A15D8" w:rsidP="000A15D8">
      <w:pPr>
        <w:pStyle w:val="Heading2"/>
        <w:rPr>
          <w:color w:val="auto"/>
        </w:rPr>
      </w:pPr>
      <w:r w:rsidRPr="00FE2CC1">
        <w:rPr>
          <w:color w:val="auto"/>
        </w:rPr>
        <w:t>Such circumstances are acute, unforeseen and unavoidable and can include:</w:t>
      </w:r>
    </w:p>
    <w:p w14:paraId="2C496D2F" w14:textId="66AEF2DF" w:rsidR="000A15D8" w:rsidRPr="00FE2CC1" w:rsidRDefault="008610A1" w:rsidP="00A47EBF">
      <w:pPr>
        <w:pStyle w:val="ListParagraph"/>
        <w:numPr>
          <w:ilvl w:val="0"/>
          <w:numId w:val="13"/>
        </w:numPr>
        <w:spacing w:after="0"/>
        <w:rPr>
          <w:color w:val="auto"/>
        </w:rPr>
      </w:pPr>
      <w:r w:rsidRPr="00FE2CC1">
        <w:rPr>
          <w:color w:val="auto"/>
        </w:rPr>
        <w:t>s</w:t>
      </w:r>
      <w:r w:rsidR="000A15D8" w:rsidRPr="00FE2CC1">
        <w:rPr>
          <w:color w:val="auto"/>
        </w:rPr>
        <w:t>erious illness</w:t>
      </w:r>
    </w:p>
    <w:p w14:paraId="1757F59F" w14:textId="7A388E10" w:rsidR="005D05B5" w:rsidRPr="00FE2CC1" w:rsidRDefault="008610A1" w:rsidP="00A47EBF">
      <w:pPr>
        <w:pStyle w:val="ListParagraph"/>
        <w:numPr>
          <w:ilvl w:val="0"/>
          <w:numId w:val="13"/>
        </w:numPr>
        <w:spacing w:after="0"/>
        <w:rPr>
          <w:color w:val="auto"/>
        </w:rPr>
      </w:pPr>
      <w:r w:rsidRPr="00FE2CC1">
        <w:rPr>
          <w:color w:val="auto"/>
        </w:rPr>
        <w:t>s</w:t>
      </w:r>
      <w:r w:rsidR="005D05B5" w:rsidRPr="00FE2CC1">
        <w:rPr>
          <w:color w:val="auto"/>
        </w:rPr>
        <w:t xml:space="preserve">erious illness or hospitalisation of a </w:t>
      </w:r>
      <w:r w:rsidRPr="00FE2CC1">
        <w:rPr>
          <w:color w:val="auto"/>
        </w:rPr>
        <w:t>partner/</w:t>
      </w:r>
      <w:r w:rsidR="005D05B5" w:rsidRPr="00FE2CC1">
        <w:rPr>
          <w:color w:val="auto"/>
        </w:rPr>
        <w:t>spouse, close family member</w:t>
      </w:r>
      <w:r w:rsidRPr="00FE2CC1">
        <w:rPr>
          <w:color w:val="auto"/>
        </w:rPr>
        <w:t xml:space="preserve"> or close friend</w:t>
      </w:r>
    </w:p>
    <w:p w14:paraId="17EE5E25" w14:textId="3B42515F" w:rsidR="000A15D8" w:rsidRPr="00FE2CC1" w:rsidRDefault="008610A1" w:rsidP="00A47EBF">
      <w:pPr>
        <w:pStyle w:val="ListParagraph"/>
        <w:numPr>
          <w:ilvl w:val="0"/>
          <w:numId w:val="13"/>
        </w:numPr>
        <w:spacing w:after="0"/>
        <w:rPr>
          <w:color w:val="auto"/>
        </w:rPr>
      </w:pPr>
      <w:r w:rsidRPr="00FE2CC1">
        <w:rPr>
          <w:color w:val="auto"/>
        </w:rPr>
        <w:t>b</w:t>
      </w:r>
      <w:r w:rsidR="000A15D8" w:rsidRPr="00FE2CC1">
        <w:rPr>
          <w:color w:val="auto"/>
        </w:rPr>
        <w:t>ereavement</w:t>
      </w:r>
    </w:p>
    <w:p w14:paraId="6DA5C3B1" w14:textId="3F2CF867" w:rsidR="0070104F" w:rsidRPr="00FE2CC1" w:rsidRDefault="008610A1" w:rsidP="00A47EBF">
      <w:pPr>
        <w:pStyle w:val="ListParagraph"/>
        <w:numPr>
          <w:ilvl w:val="0"/>
          <w:numId w:val="13"/>
        </w:numPr>
        <w:spacing w:after="0"/>
        <w:rPr>
          <w:color w:val="auto"/>
        </w:rPr>
      </w:pPr>
      <w:r w:rsidRPr="00FE2CC1">
        <w:rPr>
          <w:color w:val="auto"/>
        </w:rPr>
        <w:t>a</w:t>
      </w:r>
      <w:r w:rsidR="000A15D8" w:rsidRPr="00FE2CC1">
        <w:rPr>
          <w:color w:val="auto"/>
        </w:rPr>
        <w:t>ccident</w:t>
      </w:r>
    </w:p>
    <w:p w14:paraId="29FCDC17" w14:textId="145DBDC2" w:rsidR="003A7850" w:rsidRDefault="002A15AC" w:rsidP="00DA62B9">
      <w:pPr>
        <w:pStyle w:val="Heading1"/>
      </w:pPr>
      <w:bookmarkStart w:id="11" w:name="_Toc168317347"/>
      <w:r w:rsidRPr="00DA62B9">
        <w:t>Submission</w:t>
      </w:r>
      <w:r>
        <w:t xml:space="preserve"> of Appeal</w:t>
      </w:r>
      <w:bookmarkEnd w:id="11"/>
    </w:p>
    <w:p w14:paraId="526DE094" w14:textId="5FF4307B" w:rsidR="007478D5" w:rsidRDefault="007478D5" w:rsidP="007478D5">
      <w:pPr>
        <w:pStyle w:val="Heading2"/>
      </w:pPr>
      <w:r w:rsidRPr="00FE2CC1">
        <w:rPr>
          <w:color w:val="auto"/>
        </w:rPr>
        <w:t xml:space="preserve">Appeals must be appropriately evidenced. Guidance on the type of evidence required to support </w:t>
      </w:r>
      <w:r w:rsidR="00452BCB" w:rsidRPr="00FE2CC1">
        <w:rPr>
          <w:color w:val="auto"/>
        </w:rPr>
        <w:t xml:space="preserve">appeals based on </w:t>
      </w:r>
      <w:r w:rsidRPr="00FE2CC1">
        <w:rPr>
          <w:color w:val="auto"/>
        </w:rPr>
        <w:t xml:space="preserve">exceptional personal circumstances can be found in the </w:t>
      </w:r>
      <w:hyperlink r:id="rId15" w:history="1">
        <w:r w:rsidRPr="002F0D83">
          <w:rPr>
            <w:rStyle w:val="Hyperlink"/>
          </w:rPr>
          <w:t xml:space="preserve">Appeals </w:t>
        </w:r>
        <w:r w:rsidRPr="002F0D83">
          <w:rPr>
            <w:rStyle w:val="Hyperlink"/>
            <w:i/>
          </w:rPr>
          <w:t>Frequently Asked Questions.</w:t>
        </w:r>
      </w:hyperlink>
    </w:p>
    <w:p w14:paraId="0A000E6C" w14:textId="77777777" w:rsidR="00871972" w:rsidRPr="00FE2CC1" w:rsidRDefault="00871972" w:rsidP="00871972">
      <w:pPr>
        <w:pStyle w:val="Heading2"/>
        <w:rPr>
          <w:color w:val="auto"/>
        </w:rPr>
      </w:pPr>
      <w:r w:rsidRPr="00FE2CC1">
        <w:rPr>
          <w:color w:val="auto"/>
        </w:rPr>
        <w:t>Appeals relating to university processes should usually be evidenced with copies of programme documentation and/or copies of correspondence.</w:t>
      </w:r>
    </w:p>
    <w:p w14:paraId="291FFFC2" w14:textId="77777777" w:rsidR="00DA62B9" w:rsidRPr="00FE2CC1" w:rsidRDefault="00DA62B9" w:rsidP="00DA62B9">
      <w:pPr>
        <w:pStyle w:val="Heading2"/>
        <w:rPr>
          <w:color w:val="auto"/>
        </w:rPr>
      </w:pPr>
      <w:r w:rsidRPr="00FE2CC1">
        <w:rPr>
          <w:color w:val="auto"/>
        </w:rPr>
        <w:t xml:space="preserve">A Postgraduate Research Degree Appeal must be submitted using the appropriate appeal form with supporting evidence, within </w:t>
      </w:r>
      <w:r w:rsidRPr="00FE2CC1">
        <w:rPr>
          <w:b/>
          <w:color w:val="auto"/>
        </w:rPr>
        <w:t>two months</w:t>
      </w:r>
      <w:r w:rsidRPr="00FE2CC1">
        <w:rPr>
          <w:color w:val="auto"/>
        </w:rPr>
        <w:t xml:space="preserve"> of the date of the formal letter/email detailing the Viva or RDG outcome. </w:t>
      </w:r>
    </w:p>
    <w:p w14:paraId="662944D6" w14:textId="7BA0A24A" w:rsidR="00DA62B9" w:rsidRPr="00FE2CC1" w:rsidRDefault="00DA62B9" w:rsidP="00DA62B9">
      <w:pPr>
        <w:pStyle w:val="Heading2"/>
        <w:rPr>
          <w:color w:val="auto"/>
        </w:rPr>
      </w:pPr>
      <w:r w:rsidRPr="00FE2CC1">
        <w:rPr>
          <w:color w:val="auto"/>
        </w:rPr>
        <w:t>Appeals received outside this timeframe will not be considered unless there is exceptional reason why the appeal could not be submitted on time</w:t>
      </w:r>
      <w:r w:rsidR="00335BBA" w:rsidRPr="00FE2CC1">
        <w:rPr>
          <w:color w:val="auto"/>
        </w:rPr>
        <w:t xml:space="preserve"> (this is not likely to include a delay </w:t>
      </w:r>
      <w:r w:rsidR="0072722D" w:rsidRPr="00FE2CC1">
        <w:rPr>
          <w:color w:val="auto"/>
        </w:rPr>
        <w:t>due to</w:t>
      </w:r>
      <w:r w:rsidR="00335BBA" w:rsidRPr="00FE2CC1">
        <w:rPr>
          <w:color w:val="auto"/>
        </w:rPr>
        <w:t xml:space="preserve"> obtaining evidence)</w:t>
      </w:r>
      <w:r w:rsidRPr="00FE2CC1">
        <w:rPr>
          <w:color w:val="auto"/>
        </w:rPr>
        <w:t>. Late appeals will only be accepted at the discretion of Registry Services.</w:t>
      </w:r>
      <w:r w:rsidR="00660021" w:rsidRPr="00FE2CC1">
        <w:rPr>
          <w:color w:val="auto"/>
        </w:rPr>
        <w:t xml:space="preserve"> </w:t>
      </w:r>
    </w:p>
    <w:p w14:paraId="5842B0D0" w14:textId="77777777" w:rsidR="00DA62B9" w:rsidRPr="00FE2CC1" w:rsidRDefault="00DA62B9" w:rsidP="00DA62B9">
      <w:pPr>
        <w:pStyle w:val="Heading2"/>
        <w:rPr>
          <w:color w:val="auto"/>
        </w:rPr>
      </w:pPr>
      <w:r w:rsidRPr="00FE2CC1">
        <w:rPr>
          <w:color w:val="auto"/>
        </w:rPr>
        <w:t>Receipt of the appeal will be acknowledged by Registry Services.</w:t>
      </w:r>
    </w:p>
    <w:p w14:paraId="106FC564" w14:textId="77777777" w:rsidR="00604186" w:rsidRPr="00FE2CC1" w:rsidRDefault="00604186" w:rsidP="00604186">
      <w:pPr>
        <w:pStyle w:val="Heading2"/>
        <w:rPr>
          <w:color w:val="auto"/>
        </w:rPr>
      </w:pPr>
      <w:r w:rsidRPr="00FE2CC1">
        <w:rPr>
          <w:color w:val="auto"/>
        </w:rPr>
        <w:t xml:space="preserve">The Students’ Union can provide </w:t>
      </w:r>
      <w:hyperlink r:id="rId16" w:history="1">
        <w:r w:rsidRPr="002D33BB">
          <w:rPr>
            <w:rStyle w:val="Hyperlink"/>
          </w:rPr>
          <w:t>advice and guidance</w:t>
        </w:r>
      </w:hyperlink>
      <w:r>
        <w:t xml:space="preserve"> </w:t>
      </w:r>
      <w:r w:rsidRPr="00FE2CC1">
        <w:rPr>
          <w:color w:val="auto"/>
        </w:rPr>
        <w:t>relating to academic processes such as appeals and may assist students in completing an appeal form.</w:t>
      </w:r>
    </w:p>
    <w:p w14:paraId="11860B0F" w14:textId="60BCA8CD" w:rsidR="00DA62B9" w:rsidRDefault="00DA62B9" w:rsidP="00DA62B9">
      <w:pPr>
        <w:pStyle w:val="Heading2"/>
      </w:pPr>
      <w:r w:rsidRPr="00FE2CC1">
        <w:rPr>
          <w:color w:val="auto"/>
        </w:rPr>
        <w:t xml:space="preserve">For students with a disability under the Equalities Act 2010, support in navigating academic procedures is available from Student Services. If an appeal form is required in an alternative format, students should email </w:t>
      </w:r>
      <w:hyperlink r:id="rId17" w:history="1">
        <w:r w:rsidRPr="00EC671D">
          <w:rPr>
            <w:rStyle w:val="Hyperlink"/>
          </w:rPr>
          <w:t>aup@cardiffmet.ac.uk</w:t>
        </w:r>
      </w:hyperlink>
    </w:p>
    <w:p w14:paraId="5E62FCB7" w14:textId="39421F12" w:rsidR="00DA62B9" w:rsidRPr="00FE2CC1" w:rsidRDefault="00EC1846" w:rsidP="00DA62B9">
      <w:pPr>
        <w:pStyle w:val="Heading2"/>
        <w:rPr>
          <w:color w:val="auto"/>
        </w:rPr>
      </w:pPr>
      <w:r w:rsidRPr="00FE2CC1">
        <w:rPr>
          <w:color w:val="auto"/>
        </w:rPr>
        <w:lastRenderedPageBreak/>
        <w:t xml:space="preserve">In some cases, </w:t>
      </w:r>
      <w:r w:rsidR="004C4F55" w:rsidRPr="00FE2CC1">
        <w:rPr>
          <w:color w:val="auto"/>
        </w:rPr>
        <w:t xml:space="preserve">where there is evidence that the student’s ability to engage with the correct process is impaired, </w:t>
      </w:r>
      <w:r w:rsidRPr="00FE2CC1">
        <w:rPr>
          <w:color w:val="auto"/>
        </w:rPr>
        <w:t xml:space="preserve">it may be reasonable for the University to </w:t>
      </w:r>
      <w:proofErr w:type="gramStart"/>
      <w:r w:rsidRPr="00FE2CC1">
        <w:rPr>
          <w:color w:val="auto"/>
        </w:rPr>
        <w:t>make adjustments to</w:t>
      </w:r>
      <w:proofErr w:type="gramEnd"/>
      <w:r w:rsidRPr="00FE2CC1">
        <w:rPr>
          <w:color w:val="auto"/>
        </w:rPr>
        <w:t xml:space="preserve"> this procedure</w:t>
      </w:r>
      <w:r w:rsidR="00F2588C" w:rsidRPr="00FE2CC1">
        <w:rPr>
          <w:color w:val="auto"/>
        </w:rPr>
        <w:t xml:space="preserve"> to remove any disadvantage which the student may otherwise </w:t>
      </w:r>
      <w:r w:rsidR="00586EAD" w:rsidRPr="00FE2CC1">
        <w:rPr>
          <w:color w:val="auto"/>
        </w:rPr>
        <w:t>encounter</w:t>
      </w:r>
      <w:r w:rsidR="004C4F55" w:rsidRPr="00FE2CC1">
        <w:rPr>
          <w:color w:val="auto"/>
        </w:rPr>
        <w:t>.</w:t>
      </w:r>
      <w:r w:rsidR="00586EAD" w:rsidRPr="00FE2CC1">
        <w:rPr>
          <w:color w:val="auto"/>
        </w:rPr>
        <w:t xml:space="preserve"> In such cases</w:t>
      </w:r>
      <w:r w:rsidR="00827CBA" w:rsidRPr="00FE2CC1">
        <w:rPr>
          <w:color w:val="auto"/>
        </w:rPr>
        <w:t>, these adjustments will be confirmed in writing.</w:t>
      </w:r>
    </w:p>
    <w:p w14:paraId="6EAB20EA" w14:textId="77777777" w:rsidR="0070104F" w:rsidRDefault="0070104F" w:rsidP="0070104F">
      <w:pPr>
        <w:pStyle w:val="Heading2"/>
        <w:numPr>
          <w:ilvl w:val="0"/>
          <w:numId w:val="0"/>
        </w:numPr>
        <w:ind w:left="578"/>
      </w:pPr>
    </w:p>
    <w:p w14:paraId="643B782A" w14:textId="2ED077F0" w:rsidR="00E31881" w:rsidRDefault="00E31881" w:rsidP="00CA5D91">
      <w:pPr>
        <w:pStyle w:val="Heading1"/>
      </w:pPr>
      <w:bookmarkStart w:id="12" w:name="_Toc168317348"/>
      <w:r>
        <w:t>Pause of a Corrections Period</w:t>
      </w:r>
      <w:bookmarkEnd w:id="12"/>
    </w:p>
    <w:p w14:paraId="28181D48" w14:textId="2B4257E4" w:rsidR="00BB7259" w:rsidRPr="00FE2CC1" w:rsidRDefault="00BB7259" w:rsidP="00BB7259">
      <w:pPr>
        <w:pStyle w:val="Heading2"/>
        <w:rPr>
          <w:color w:val="auto"/>
        </w:rPr>
      </w:pPr>
      <w:r w:rsidRPr="00FE2CC1">
        <w:rPr>
          <w:color w:val="auto"/>
        </w:rPr>
        <w:t xml:space="preserve">If the academic outcome being appealed includes a </w:t>
      </w:r>
      <w:r w:rsidR="00182167" w:rsidRPr="00FE2CC1">
        <w:rPr>
          <w:color w:val="auto"/>
        </w:rPr>
        <w:t>specified</w:t>
      </w:r>
      <w:r w:rsidRPr="00FE2CC1">
        <w:rPr>
          <w:color w:val="auto"/>
        </w:rPr>
        <w:t xml:space="preserve"> </w:t>
      </w:r>
      <w:proofErr w:type="gramStart"/>
      <w:r w:rsidRPr="00FE2CC1">
        <w:rPr>
          <w:color w:val="auto"/>
        </w:rPr>
        <w:t>time period</w:t>
      </w:r>
      <w:proofErr w:type="gramEnd"/>
      <w:r w:rsidRPr="00FE2CC1">
        <w:rPr>
          <w:color w:val="auto"/>
        </w:rPr>
        <w:t xml:space="preserve"> for completion of thesis corrections, this corrections period will be paused while the appeal is considered (‘stop the clock’). If this applies, Registry Services will confirm the details in writing to both the student and to Research and Innovation Services (R&amp;IS). </w:t>
      </w:r>
    </w:p>
    <w:p w14:paraId="4028208F" w14:textId="77777777" w:rsidR="00BB7259" w:rsidRPr="00FE2CC1" w:rsidRDefault="00BB7259" w:rsidP="00BB7259">
      <w:pPr>
        <w:pStyle w:val="Heading2"/>
        <w:rPr>
          <w:color w:val="auto"/>
        </w:rPr>
      </w:pPr>
      <w:r w:rsidRPr="00FE2CC1">
        <w:rPr>
          <w:color w:val="auto"/>
        </w:rPr>
        <w:t>If the appeal is ultimately dismissed or rejected, the corrections period will resume from where it was paused (‘restart the clock’).</w:t>
      </w:r>
    </w:p>
    <w:p w14:paraId="5E75D9C6" w14:textId="77777777" w:rsidR="00BB7259" w:rsidRPr="00FE2CC1" w:rsidRDefault="00BB7259" w:rsidP="00BB7259">
      <w:pPr>
        <w:pStyle w:val="Heading2"/>
        <w:rPr>
          <w:color w:val="auto"/>
        </w:rPr>
      </w:pPr>
      <w:r w:rsidRPr="00FE2CC1">
        <w:rPr>
          <w:color w:val="auto"/>
        </w:rPr>
        <w:t>If the appeal is ultimately upheld, further instructions will be given at that stage.</w:t>
      </w:r>
    </w:p>
    <w:p w14:paraId="59849F38" w14:textId="77777777" w:rsidR="0070104F" w:rsidRDefault="0070104F" w:rsidP="0070104F">
      <w:pPr>
        <w:pStyle w:val="Heading2"/>
        <w:numPr>
          <w:ilvl w:val="0"/>
          <w:numId w:val="0"/>
        </w:numPr>
        <w:ind w:left="578"/>
      </w:pPr>
    </w:p>
    <w:p w14:paraId="49FA72EF" w14:textId="69A95A3A" w:rsidR="00BB7259" w:rsidRDefault="00BB7259" w:rsidP="002D2792">
      <w:pPr>
        <w:pStyle w:val="Heading1"/>
      </w:pPr>
      <w:bookmarkStart w:id="13" w:name="_Toc168317349"/>
      <w:r>
        <w:t>Confidentiality</w:t>
      </w:r>
      <w:bookmarkEnd w:id="13"/>
    </w:p>
    <w:p w14:paraId="381CC882" w14:textId="77777777" w:rsidR="002D2792" w:rsidRPr="00F5621E" w:rsidRDefault="002D2792" w:rsidP="002D2792">
      <w:pPr>
        <w:pStyle w:val="Heading2"/>
        <w:rPr>
          <w:color w:val="auto"/>
        </w:rPr>
      </w:pPr>
      <w:r w:rsidRPr="00F5621E">
        <w:rPr>
          <w:color w:val="auto"/>
        </w:rPr>
        <w:t>Appeals will be kept confidential except where:</w:t>
      </w:r>
    </w:p>
    <w:p w14:paraId="4344F978" w14:textId="77777777" w:rsidR="002D2792" w:rsidRPr="00FE2CC1" w:rsidRDefault="002D2792" w:rsidP="00F5621E">
      <w:pPr>
        <w:pStyle w:val="Heading3"/>
        <w:rPr>
          <w:color w:val="auto"/>
        </w:rPr>
      </w:pPr>
      <w:r w:rsidRPr="00FE2CC1">
        <w:rPr>
          <w:color w:val="auto"/>
        </w:rPr>
        <w:t xml:space="preserve">disclosure of the appeal and its contents to appropriately trained staff is necessary to progress the </w:t>
      </w:r>
      <w:proofErr w:type="gramStart"/>
      <w:r w:rsidRPr="00FE2CC1">
        <w:rPr>
          <w:color w:val="auto"/>
        </w:rPr>
        <w:t>appeal;</w:t>
      </w:r>
      <w:proofErr w:type="gramEnd"/>
    </w:p>
    <w:p w14:paraId="0D4FF179" w14:textId="77777777" w:rsidR="002D2792" w:rsidRPr="00FE2CC1" w:rsidRDefault="002D2792" w:rsidP="00F5621E">
      <w:pPr>
        <w:pStyle w:val="Heading3"/>
        <w:rPr>
          <w:color w:val="auto"/>
        </w:rPr>
      </w:pPr>
      <w:r w:rsidRPr="00FE2CC1">
        <w:rPr>
          <w:color w:val="auto"/>
        </w:rPr>
        <w:t xml:space="preserve">University staff must be contacted for information or comment in relation to the appeal contents, in order to properly investigate the </w:t>
      </w:r>
      <w:proofErr w:type="gramStart"/>
      <w:r w:rsidRPr="00FE2CC1">
        <w:rPr>
          <w:color w:val="auto"/>
        </w:rPr>
        <w:t>appeal;</w:t>
      </w:r>
      <w:proofErr w:type="gramEnd"/>
    </w:p>
    <w:p w14:paraId="5160C08E" w14:textId="146A28E4" w:rsidR="0053070F" w:rsidRPr="00FE2CC1" w:rsidRDefault="0053070F" w:rsidP="00F5621E">
      <w:pPr>
        <w:pStyle w:val="Heading3"/>
        <w:rPr>
          <w:color w:val="auto"/>
        </w:rPr>
      </w:pPr>
      <w:r w:rsidRPr="00FE2CC1">
        <w:rPr>
          <w:color w:val="auto"/>
        </w:rPr>
        <w:t xml:space="preserve">it is judged that there may be concerns for the immediate wellbeing of the student, in which case Registry Services may ask the Wellbeing Team in Student Services to contact the student to establish if any support can be </w:t>
      </w:r>
      <w:proofErr w:type="gramStart"/>
      <w:r w:rsidRPr="00FE2CC1">
        <w:rPr>
          <w:color w:val="auto"/>
        </w:rPr>
        <w:t>provided;</w:t>
      </w:r>
      <w:proofErr w:type="gramEnd"/>
    </w:p>
    <w:p w14:paraId="07C7E3FA" w14:textId="41FCA59C" w:rsidR="0053070F" w:rsidRPr="00FE2CC1" w:rsidRDefault="0053070F" w:rsidP="00F5621E">
      <w:pPr>
        <w:pStyle w:val="Heading3"/>
        <w:rPr>
          <w:color w:val="auto"/>
        </w:rPr>
      </w:pPr>
      <w:r w:rsidRPr="00FE2CC1">
        <w:rPr>
          <w:color w:val="auto"/>
        </w:rPr>
        <w:t xml:space="preserve">information within the appeal gives rise to a safeguarding concern in relation to the student or someone else, in which case advice will be sought from the University’s Safeguarding </w:t>
      </w:r>
      <w:proofErr w:type="gramStart"/>
      <w:r w:rsidRPr="00FE2CC1">
        <w:rPr>
          <w:color w:val="auto"/>
        </w:rPr>
        <w:t>Lead</w:t>
      </w:r>
      <w:r w:rsidR="00152B82" w:rsidRPr="00FE2CC1">
        <w:rPr>
          <w:color w:val="auto"/>
        </w:rPr>
        <w:t>;</w:t>
      </w:r>
      <w:proofErr w:type="gramEnd"/>
    </w:p>
    <w:p w14:paraId="1DDA36F2" w14:textId="77777777" w:rsidR="00152B82" w:rsidRPr="00FE2CC1" w:rsidRDefault="00152B82" w:rsidP="00F5621E">
      <w:pPr>
        <w:pStyle w:val="Heading3"/>
        <w:rPr>
          <w:color w:val="auto"/>
        </w:rPr>
      </w:pPr>
      <w:proofErr w:type="gramStart"/>
      <w:r w:rsidRPr="00FE2CC1">
        <w:rPr>
          <w:color w:val="auto"/>
        </w:rPr>
        <w:t>R&amp;IS need</w:t>
      </w:r>
      <w:proofErr w:type="gramEnd"/>
      <w:r w:rsidRPr="00FE2CC1">
        <w:rPr>
          <w:color w:val="auto"/>
        </w:rPr>
        <w:t xml:space="preserve"> to be notified about the pausing of a corrections period;</w:t>
      </w:r>
    </w:p>
    <w:p w14:paraId="51F05EDD" w14:textId="77777777" w:rsidR="002D2792" w:rsidRPr="00FE2CC1" w:rsidRDefault="002D2792" w:rsidP="00F5621E">
      <w:pPr>
        <w:pStyle w:val="Heading3"/>
        <w:rPr>
          <w:color w:val="auto"/>
        </w:rPr>
      </w:pPr>
      <w:r w:rsidRPr="00FE2CC1">
        <w:rPr>
          <w:color w:val="auto"/>
        </w:rPr>
        <w:t xml:space="preserve">it is necessary for a summary of circumstances to be shared with the Chair of RDG </w:t>
      </w:r>
      <w:proofErr w:type="gramStart"/>
      <w:r w:rsidRPr="00FE2CC1">
        <w:rPr>
          <w:color w:val="auto"/>
        </w:rPr>
        <w:t>in order for</w:t>
      </w:r>
      <w:proofErr w:type="gramEnd"/>
      <w:r w:rsidRPr="00FE2CC1">
        <w:rPr>
          <w:color w:val="auto"/>
        </w:rPr>
        <w:t xml:space="preserve"> an appropriate submission deadline to be determined.</w:t>
      </w:r>
    </w:p>
    <w:p w14:paraId="0D742E3D" w14:textId="77777777" w:rsidR="002D2792" w:rsidRPr="00F5621E" w:rsidRDefault="002D2792" w:rsidP="0075022E">
      <w:pPr>
        <w:pStyle w:val="Heading2"/>
        <w:rPr>
          <w:color w:val="auto"/>
        </w:rPr>
      </w:pPr>
      <w:r w:rsidRPr="00F5621E">
        <w:rPr>
          <w:color w:val="auto"/>
        </w:rPr>
        <w:t xml:space="preserve">Students must consent to the above </w:t>
      </w:r>
      <w:proofErr w:type="gramStart"/>
      <w:r w:rsidRPr="00F5621E">
        <w:rPr>
          <w:color w:val="auto"/>
        </w:rPr>
        <w:t>in order to</w:t>
      </w:r>
      <w:proofErr w:type="gramEnd"/>
      <w:r w:rsidRPr="00F5621E">
        <w:rPr>
          <w:color w:val="auto"/>
        </w:rPr>
        <w:t xml:space="preserve"> submit an application for appeal.</w:t>
      </w:r>
    </w:p>
    <w:p w14:paraId="3D1E877E" w14:textId="77777777" w:rsidR="002D2792" w:rsidRPr="009455A3" w:rsidRDefault="002D2792" w:rsidP="0075022E">
      <w:pPr>
        <w:pStyle w:val="Heading2"/>
      </w:pPr>
      <w:r w:rsidRPr="00F5621E">
        <w:rPr>
          <w:color w:val="auto"/>
        </w:rPr>
        <w:t xml:space="preserve">For further information on Data Privacy, please refer to the Cardiff Metropolitan University </w:t>
      </w:r>
      <w:hyperlink r:id="rId18" w:history="1">
        <w:r w:rsidRPr="009455A3">
          <w:rPr>
            <w:rStyle w:val="Hyperlink"/>
          </w:rPr>
          <w:t>Data Privacy Statement</w:t>
        </w:r>
      </w:hyperlink>
      <w:r>
        <w:t xml:space="preserve"> </w:t>
      </w:r>
      <w:r w:rsidRPr="00F5621E">
        <w:rPr>
          <w:color w:val="auto"/>
        </w:rPr>
        <w:t xml:space="preserve">or contact the Information and Data Compliance Officer by emailing </w:t>
      </w:r>
      <w:hyperlink r:id="rId19" w:history="1">
        <w:r w:rsidRPr="009455A3">
          <w:rPr>
            <w:rStyle w:val="Hyperlink"/>
          </w:rPr>
          <w:t>DataProtection@cardiffmet.ac.uk </w:t>
        </w:r>
      </w:hyperlink>
    </w:p>
    <w:p w14:paraId="22FB56F8" w14:textId="77777777" w:rsidR="004F75ED" w:rsidRPr="00F5621E" w:rsidRDefault="0075022E" w:rsidP="0075022E">
      <w:pPr>
        <w:pStyle w:val="Heading2"/>
        <w:rPr>
          <w:color w:val="auto"/>
        </w:rPr>
      </w:pPr>
      <w:r w:rsidRPr="00F5621E">
        <w:rPr>
          <w:color w:val="auto"/>
        </w:rPr>
        <w:lastRenderedPageBreak/>
        <w:t>Appeal outcomes</w:t>
      </w:r>
      <w:r w:rsidR="002D2792" w:rsidRPr="00F5621E">
        <w:rPr>
          <w:color w:val="auto"/>
        </w:rPr>
        <w:t xml:space="preserve"> will be recorded </w:t>
      </w:r>
      <w:proofErr w:type="gramStart"/>
      <w:r w:rsidR="002D2792" w:rsidRPr="00F5621E">
        <w:rPr>
          <w:color w:val="auto"/>
        </w:rPr>
        <w:t>in order to</w:t>
      </w:r>
      <w:proofErr w:type="gramEnd"/>
      <w:r w:rsidR="002D2792" w:rsidRPr="00F5621E">
        <w:rPr>
          <w:color w:val="auto"/>
        </w:rPr>
        <w:t xml:space="preserve"> identify trends and inform the University’s review of procedures, however in sharing statistics internally, individual students are not identifiable.</w:t>
      </w:r>
    </w:p>
    <w:p w14:paraId="5740C27E" w14:textId="372BB63F" w:rsidR="002D2792" w:rsidRPr="00F5621E" w:rsidRDefault="002D2792" w:rsidP="0075022E">
      <w:pPr>
        <w:pStyle w:val="Heading2"/>
        <w:rPr>
          <w:color w:val="auto"/>
        </w:rPr>
      </w:pPr>
      <w:r w:rsidRPr="00F5621E">
        <w:rPr>
          <w:color w:val="auto"/>
        </w:rPr>
        <w:t>If any student wishes to query how their data is stored, please email aup@cardiffmet.ac.uk</w:t>
      </w:r>
    </w:p>
    <w:p w14:paraId="085583B6" w14:textId="77777777" w:rsidR="00443022" w:rsidRDefault="00443022" w:rsidP="1E9F873C">
      <w:pPr>
        <w:pStyle w:val="Heading2"/>
        <w:numPr>
          <w:ilvl w:val="1"/>
          <w:numId w:val="0"/>
        </w:numPr>
      </w:pPr>
    </w:p>
    <w:p w14:paraId="035ED42D" w14:textId="77777777" w:rsidR="0001163E" w:rsidRPr="007671F1" w:rsidRDefault="0001163E" w:rsidP="0001163E">
      <w:pPr>
        <w:pStyle w:val="Heading1"/>
      </w:pPr>
      <w:bookmarkStart w:id="14" w:name="_Toc168317350"/>
      <w:r>
        <w:t>Stage One - Consideration of the A</w:t>
      </w:r>
      <w:r w:rsidRPr="007671F1">
        <w:t>ppeal</w:t>
      </w:r>
      <w:bookmarkEnd w:id="14"/>
    </w:p>
    <w:p w14:paraId="74B8AAEA" w14:textId="77777777" w:rsidR="002F026B" w:rsidRPr="00F5621E" w:rsidRDefault="002F026B" w:rsidP="002F026B">
      <w:pPr>
        <w:pStyle w:val="Heading2"/>
        <w:rPr>
          <w:color w:val="auto"/>
        </w:rPr>
      </w:pPr>
      <w:r w:rsidRPr="00F5621E">
        <w:rPr>
          <w:color w:val="auto"/>
        </w:rPr>
        <w:t xml:space="preserve">Once an appeal is submitted, Registry Services will examine the appeal, and any other related evidence or information, to determine whether the appeal is eligible for consideration, and if so, whether there is a case for an appeal to be considered. This decision will be made within </w:t>
      </w:r>
      <w:r w:rsidRPr="00F5621E">
        <w:rPr>
          <w:b/>
          <w:bCs/>
          <w:color w:val="auto"/>
        </w:rPr>
        <w:t>three months</w:t>
      </w:r>
      <w:r w:rsidRPr="00F5621E">
        <w:rPr>
          <w:color w:val="auto"/>
        </w:rPr>
        <w:t xml:space="preserve"> of the appeal being submitted.</w:t>
      </w:r>
    </w:p>
    <w:p w14:paraId="6B81CD4A" w14:textId="574B718D" w:rsidR="002F026B" w:rsidRPr="00F5621E" w:rsidRDefault="002F026B" w:rsidP="002F026B">
      <w:pPr>
        <w:pStyle w:val="Heading2"/>
        <w:rPr>
          <w:color w:val="auto"/>
        </w:rPr>
      </w:pPr>
      <w:r w:rsidRPr="00F5621E">
        <w:rPr>
          <w:color w:val="auto"/>
        </w:rPr>
        <w:t xml:space="preserve">If the appeal is not eligible for consideration or it is determined there is </w:t>
      </w:r>
      <w:r w:rsidRPr="00F5621E">
        <w:rPr>
          <w:color w:val="auto"/>
          <w:u w:val="single"/>
        </w:rPr>
        <w:t>no</w:t>
      </w:r>
      <w:r w:rsidRPr="00F5621E">
        <w:rPr>
          <w:color w:val="auto"/>
        </w:rPr>
        <w:t xml:space="preserve"> case for appeal, the appeal will be dismissed. The student will be notified by Registry Services and given reasons why the appeal cannot be considered. The student will have the opportunity to request a Stage Two review of that decision (see </w:t>
      </w:r>
      <w:r w:rsidR="00C65E03" w:rsidRPr="00F5621E">
        <w:rPr>
          <w:color w:val="auto"/>
        </w:rPr>
        <w:t>11</w:t>
      </w:r>
      <w:r w:rsidRPr="00F5621E">
        <w:rPr>
          <w:color w:val="auto"/>
        </w:rPr>
        <w:t xml:space="preserve"> below).</w:t>
      </w:r>
    </w:p>
    <w:p w14:paraId="6DAD9195" w14:textId="77777777" w:rsidR="002F026B" w:rsidRPr="00F5621E" w:rsidRDefault="002F026B" w:rsidP="002F026B">
      <w:pPr>
        <w:pStyle w:val="Heading2"/>
        <w:rPr>
          <w:color w:val="auto"/>
        </w:rPr>
      </w:pPr>
      <w:r w:rsidRPr="00F5621E">
        <w:rPr>
          <w:color w:val="auto"/>
        </w:rPr>
        <w:t xml:space="preserve">If Registry Services determine there </w:t>
      </w:r>
      <w:r w:rsidRPr="00F5621E">
        <w:rPr>
          <w:color w:val="auto"/>
          <w:u w:val="single"/>
        </w:rPr>
        <w:t>is</w:t>
      </w:r>
      <w:r w:rsidRPr="00F5621E">
        <w:rPr>
          <w:color w:val="auto"/>
        </w:rPr>
        <w:t xml:space="preserve"> a case to be considered, it will either:</w:t>
      </w:r>
    </w:p>
    <w:p w14:paraId="36B6EB27" w14:textId="77777777" w:rsidR="002F026B" w:rsidRPr="00F5621E" w:rsidRDefault="002F026B" w:rsidP="00A47EBF">
      <w:pPr>
        <w:pStyle w:val="ListParagraph"/>
        <w:numPr>
          <w:ilvl w:val="0"/>
          <w:numId w:val="6"/>
        </w:numPr>
        <w:rPr>
          <w:color w:val="auto"/>
        </w:rPr>
      </w:pPr>
      <w:r w:rsidRPr="00F5621E">
        <w:rPr>
          <w:color w:val="auto"/>
        </w:rPr>
        <w:t>be referred to an Appeal Board or</w:t>
      </w:r>
    </w:p>
    <w:p w14:paraId="226811E9" w14:textId="77777777" w:rsidR="002F026B" w:rsidRPr="00F5621E" w:rsidRDefault="002F026B" w:rsidP="00A47EBF">
      <w:pPr>
        <w:pStyle w:val="ListParagraph"/>
        <w:numPr>
          <w:ilvl w:val="0"/>
          <w:numId w:val="6"/>
        </w:numPr>
        <w:rPr>
          <w:color w:val="auto"/>
        </w:rPr>
      </w:pPr>
      <w:r w:rsidRPr="00F5621E">
        <w:rPr>
          <w:color w:val="auto"/>
        </w:rPr>
        <w:t>where appropriate, be referred to the Chair of the Appeal Board for a Chair’s executive decision.</w:t>
      </w:r>
    </w:p>
    <w:p w14:paraId="0D83C9DA" w14:textId="77777777" w:rsidR="002F026B" w:rsidRPr="00F5621E" w:rsidRDefault="002F026B" w:rsidP="002F026B">
      <w:pPr>
        <w:pStyle w:val="Heading2"/>
        <w:rPr>
          <w:color w:val="auto"/>
        </w:rPr>
      </w:pPr>
      <w:r w:rsidRPr="00F5621E">
        <w:rPr>
          <w:color w:val="auto"/>
        </w:rPr>
        <w:t>An appeal will not be rejected by the Chair, who will recommend either:</w:t>
      </w:r>
    </w:p>
    <w:p w14:paraId="13E35823" w14:textId="77777777" w:rsidR="002F026B" w:rsidRPr="00F5621E" w:rsidRDefault="002F026B" w:rsidP="00A47EBF">
      <w:pPr>
        <w:pStyle w:val="ListParagraph"/>
        <w:numPr>
          <w:ilvl w:val="0"/>
          <w:numId w:val="7"/>
        </w:numPr>
        <w:rPr>
          <w:color w:val="auto"/>
        </w:rPr>
      </w:pPr>
      <w:r w:rsidRPr="00F5621E">
        <w:rPr>
          <w:color w:val="auto"/>
        </w:rPr>
        <w:t xml:space="preserve">the case be referred back to RDG for a revised academic outcome to be </w:t>
      </w:r>
      <w:proofErr w:type="gramStart"/>
      <w:r w:rsidRPr="00F5621E">
        <w:rPr>
          <w:color w:val="auto"/>
        </w:rPr>
        <w:t>considered;</w:t>
      </w:r>
      <w:proofErr w:type="gramEnd"/>
    </w:p>
    <w:p w14:paraId="13B8E313" w14:textId="77777777" w:rsidR="002F026B" w:rsidRPr="00F5621E" w:rsidRDefault="002F026B" w:rsidP="00A47EBF">
      <w:pPr>
        <w:pStyle w:val="ListParagraph"/>
        <w:numPr>
          <w:ilvl w:val="0"/>
          <w:numId w:val="7"/>
        </w:numPr>
        <w:rPr>
          <w:color w:val="auto"/>
        </w:rPr>
      </w:pPr>
      <w:r w:rsidRPr="00F5621E">
        <w:rPr>
          <w:color w:val="auto"/>
        </w:rPr>
        <w:t>the case be referred to a full Appeal Board for further consideration.</w:t>
      </w:r>
    </w:p>
    <w:p w14:paraId="4F889F43" w14:textId="77777777" w:rsidR="00443022" w:rsidRDefault="00443022" w:rsidP="1E9F873C">
      <w:pPr>
        <w:pStyle w:val="Heading2"/>
        <w:numPr>
          <w:ilvl w:val="1"/>
          <w:numId w:val="0"/>
        </w:numPr>
      </w:pPr>
    </w:p>
    <w:p w14:paraId="0CE9C5D2" w14:textId="77777777" w:rsidR="00C91548" w:rsidRPr="007671F1" w:rsidRDefault="00C91548" w:rsidP="00C91548">
      <w:pPr>
        <w:pStyle w:val="Heading1"/>
      </w:pPr>
      <w:bookmarkStart w:id="15" w:name="_Toc168317351"/>
      <w:r w:rsidRPr="007671F1">
        <w:t>Appeal Board</w:t>
      </w:r>
      <w:bookmarkEnd w:id="15"/>
    </w:p>
    <w:p w14:paraId="7F56C6A7" w14:textId="77777777" w:rsidR="00C91548" w:rsidRPr="00F5621E" w:rsidRDefault="00C91548" w:rsidP="00C91548">
      <w:pPr>
        <w:pStyle w:val="Heading2"/>
        <w:rPr>
          <w:color w:val="auto"/>
        </w:rPr>
      </w:pPr>
      <w:r w:rsidRPr="00F5621E">
        <w:rPr>
          <w:color w:val="auto"/>
        </w:rPr>
        <w:t>The Appeal Board (at least three members) will normally be convened within twenty working days of notification to the student and will comprise:</w:t>
      </w:r>
    </w:p>
    <w:p w14:paraId="3F0FEBCE" w14:textId="77777777" w:rsidR="00C91548" w:rsidRPr="00F5621E" w:rsidRDefault="00C91548" w:rsidP="00A47EBF">
      <w:pPr>
        <w:pStyle w:val="ListParagraph"/>
        <w:numPr>
          <w:ilvl w:val="0"/>
          <w:numId w:val="3"/>
        </w:numPr>
        <w:rPr>
          <w:color w:val="auto"/>
        </w:rPr>
      </w:pPr>
      <w:r w:rsidRPr="00F5621E">
        <w:rPr>
          <w:color w:val="auto"/>
        </w:rPr>
        <w:t>A member of the University Executive Group</w:t>
      </w:r>
    </w:p>
    <w:p w14:paraId="60D6107B" w14:textId="77777777" w:rsidR="00C91548" w:rsidRPr="00F5621E" w:rsidRDefault="00C91548" w:rsidP="00A47EBF">
      <w:pPr>
        <w:pStyle w:val="ListParagraph"/>
        <w:numPr>
          <w:ilvl w:val="0"/>
          <w:numId w:val="3"/>
        </w:numPr>
        <w:rPr>
          <w:color w:val="auto"/>
        </w:rPr>
      </w:pPr>
      <w:r w:rsidRPr="00F5621E">
        <w:rPr>
          <w:color w:val="auto"/>
        </w:rPr>
        <w:t>At least one member of Academic Board</w:t>
      </w:r>
    </w:p>
    <w:p w14:paraId="0F4325F0" w14:textId="77777777" w:rsidR="00C91548" w:rsidRPr="00F5621E" w:rsidRDefault="00C91548" w:rsidP="00A47EBF">
      <w:pPr>
        <w:pStyle w:val="ListParagraph"/>
        <w:numPr>
          <w:ilvl w:val="0"/>
          <w:numId w:val="3"/>
        </w:numPr>
        <w:rPr>
          <w:color w:val="auto"/>
        </w:rPr>
      </w:pPr>
      <w:r w:rsidRPr="00F5621E">
        <w:rPr>
          <w:color w:val="auto"/>
        </w:rPr>
        <w:t>A senior academic familiar with postgraduate research degree processes</w:t>
      </w:r>
    </w:p>
    <w:p w14:paraId="1E132734" w14:textId="77777777" w:rsidR="00C91548" w:rsidRPr="00F5621E" w:rsidRDefault="00C91548" w:rsidP="00C91548">
      <w:pPr>
        <w:pStyle w:val="Heading2"/>
        <w:rPr>
          <w:color w:val="auto"/>
        </w:rPr>
      </w:pPr>
      <w:r w:rsidRPr="00F5621E">
        <w:rPr>
          <w:color w:val="auto"/>
        </w:rPr>
        <w:t>If there is a delay in convening the Appeal Board (for example, due to the unavailability of a suitable panel), the student will be notified as soon as possible and kept up to date with developments.</w:t>
      </w:r>
    </w:p>
    <w:p w14:paraId="5FD3C683" w14:textId="77777777" w:rsidR="00C91548" w:rsidRPr="00F5621E" w:rsidRDefault="00C91548" w:rsidP="00C91548">
      <w:pPr>
        <w:pStyle w:val="Heading2"/>
        <w:rPr>
          <w:color w:val="auto"/>
        </w:rPr>
      </w:pPr>
      <w:r w:rsidRPr="00F5621E">
        <w:rPr>
          <w:color w:val="auto"/>
        </w:rPr>
        <w:t>The Appeal Board will consider:</w:t>
      </w:r>
    </w:p>
    <w:p w14:paraId="5A737A83" w14:textId="77777777" w:rsidR="00C91548" w:rsidRPr="00F5621E" w:rsidRDefault="00C91548" w:rsidP="00A47EBF">
      <w:pPr>
        <w:pStyle w:val="ListParagraph"/>
        <w:numPr>
          <w:ilvl w:val="0"/>
          <w:numId w:val="15"/>
        </w:numPr>
        <w:rPr>
          <w:color w:val="auto"/>
        </w:rPr>
      </w:pPr>
      <w:r w:rsidRPr="00F5621E">
        <w:rPr>
          <w:color w:val="auto"/>
        </w:rPr>
        <w:lastRenderedPageBreak/>
        <w:t>information and supporting evidence provided by the student within their appeal</w:t>
      </w:r>
    </w:p>
    <w:p w14:paraId="1B2FD526" w14:textId="7BD956E3" w:rsidR="00C91548" w:rsidRPr="00F5621E" w:rsidRDefault="00C91548" w:rsidP="00A47EBF">
      <w:pPr>
        <w:pStyle w:val="ListParagraph"/>
        <w:numPr>
          <w:ilvl w:val="0"/>
          <w:numId w:val="15"/>
        </w:numPr>
        <w:rPr>
          <w:color w:val="auto"/>
        </w:rPr>
      </w:pPr>
      <w:r w:rsidRPr="00F5621E">
        <w:rPr>
          <w:color w:val="auto"/>
        </w:rPr>
        <w:t>statement from the Chair of the Exam</w:t>
      </w:r>
      <w:r w:rsidR="00B411F7" w:rsidRPr="00F5621E">
        <w:rPr>
          <w:color w:val="auto"/>
        </w:rPr>
        <w:t xml:space="preserve">ination Panel </w:t>
      </w:r>
      <w:r w:rsidRPr="00F5621E">
        <w:rPr>
          <w:color w:val="auto"/>
        </w:rPr>
        <w:t>(if applicable)</w:t>
      </w:r>
    </w:p>
    <w:p w14:paraId="1510D951" w14:textId="77777777" w:rsidR="00C91548" w:rsidRPr="00F5621E" w:rsidRDefault="00C91548" w:rsidP="00A47EBF">
      <w:pPr>
        <w:pStyle w:val="ListParagraph"/>
        <w:numPr>
          <w:ilvl w:val="0"/>
          <w:numId w:val="15"/>
        </w:numPr>
        <w:rPr>
          <w:color w:val="auto"/>
        </w:rPr>
      </w:pPr>
      <w:r w:rsidRPr="00F5621E">
        <w:rPr>
          <w:color w:val="auto"/>
        </w:rPr>
        <w:t>statement from the Chair of the RDG (if applicable)</w:t>
      </w:r>
    </w:p>
    <w:p w14:paraId="426DA8FB" w14:textId="77777777" w:rsidR="00C91548" w:rsidRPr="00F5621E" w:rsidRDefault="00C91548" w:rsidP="00A47EBF">
      <w:pPr>
        <w:pStyle w:val="ListParagraph"/>
        <w:numPr>
          <w:ilvl w:val="0"/>
          <w:numId w:val="15"/>
        </w:numPr>
        <w:rPr>
          <w:color w:val="auto"/>
        </w:rPr>
      </w:pPr>
      <w:r w:rsidRPr="00F5621E">
        <w:rPr>
          <w:color w:val="auto"/>
        </w:rPr>
        <w:t xml:space="preserve">evidence from the </w:t>
      </w:r>
      <w:proofErr w:type="gramStart"/>
      <w:r w:rsidRPr="00F5621E">
        <w:rPr>
          <w:color w:val="auto"/>
        </w:rPr>
        <w:t>School</w:t>
      </w:r>
      <w:proofErr w:type="gramEnd"/>
      <w:r w:rsidRPr="00F5621E">
        <w:rPr>
          <w:color w:val="auto"/>
        </w:rPr>
        <w:t xml:space="preserve"> concerned (e.g. statements from relevant academic/support staff or copies of correspondence)</w:t>
      </w:r>
    </w:p>
    <w:p w14:paraId="03F873A3" w14:textId="77777777" w:rsidR="00C91548" w:rsidRPr="00F5621E" w:rsidRDefault="00C91548" w:rsidP="00A47EBF">
      <w:pPr>
        <w:pStyle w:val="ListParagraph"/>
        <w:numPr>
          <w:ilvl w:val="0"/>
          <w:numId w:val="15"/>
        </w:numPr>
        <w:rPr>
          <w:color w:val="auto"/>
        </w:rPr>
      </w:pPr>
      <w:r w:rsidRPr="00F5621E">
        <w:rPr>
          <w:color w:val="auto"/>
        </w:rPr>
        <w:t>any further evidence deemed relevant</w:t>
      </w:r>
    </w:p>
    <w:p w14:paraId="225CF152" w14:textId="77777777" w:rsidR="00755130" w:rsidRPr="00F5621E" w:rsidRDefault="00C91548" w:rsidP="00C91548">
      <w:pPr>
        <w:pStyle w:val="Heading2"/>
        <w:rPr>
          <w:color w:val="auto"/>
        </w:rPr>
      </w:pPr>
      <w:r w:rsidRPr="00F5621E">
        <w:rPr>
          <w:color w:val="auto"/>
        </w:rPr>
        <w:t>The student will be offered a personal hearing and informed of the date and time, with at least 2 weeks’ notice of the meeting.</w:t>
      </w:r>
    </w:p>
    <w:p w14:paraId="26E3622E" w14:textId="1D2ED858" w:rsidR="00C91548" w:rsidRPr="00F5621E" w:rsidRDefault="00C91548" w:rsidP="00C91548">
      <w:pPr>
        <w:pStyle w:val="Heading2"/>
        <w:rPr>
          <w:color w:val="auto"/>
        </w:rPr>
      </w:pPr>
      <w:r w:rsidRPr="00F5621E">
        <w:rPr>
          <w:color w:val="auto"/>
        </w:rPr>
        <w:t>The student may be accompanied</w:t>
      </w:r>
      <w:r w:rsidR="00143840" w:rsidRPr="00F5621E">
        <w:rPr>
          <w:color w:val="auto"/>
        </w:rPr>
        <w:t xml:space="preserve"> by a support person (e.g. friend, family member</w:t>
      </w:r>
      <w:r w:rsidR="007E1365" w:rsidRPr="00F5621E">
        <w:rPr>
          <w:color w:val="auto"/>
        </w:rPr>
        <w:t xml:space="preserve">, </w:t>
      </w:r>
      <w:r w:rsidR="00815487" w:rsidRPr="00F5621E">
        <w:rPr>
          <w:color w:val="auto"/>
        </w:rPr>
        <w:t>officer of the Students’ Union</w:t>
      </w:r>
      <w:r w:rsidR="007E1365" w:rsidRPr="00F5621E">
        <w:rPr>
          <w:color w:val="auto"/>
        </w:rPr>
        <w:t xml:space="preserve"> or </w:t>
      </w:r>
      <w:r w:rsidR="00CC339C" w:rsidRPr="00F5621E">
        <w:rPr>
          <w:color w:val="auto"/>
        </w:rPr>
        <w:t>professional union</w:t>
      </w:r>
      <w:r w:rsidR="00815487" w:rsidRPr="00F5621E">
        <w:rPr>
          <w:color w:val="auto"/>
        </w:rPr>
        <w:t xml:space="preserve">). </w:t>
      </w:r>
      <w:r w:rsidR="00D967B9" w:rsidRPr="00F5621E">
        <w:rPr>
          <w:color w:val="auto"/>
        </w:rPr>
        <w:t xml:space="preserve">The role of this person is to support the student and they will not be able to speak for or </w:t>
      </w:r>
      <w:r w:rsidR="00900B77" w:rsidRPr="00F5621E">
        <w:rPr>
          <w:color w:val="auto"/>
        </w:rPr>
        <w:t>represent</w:t>
      </w:r>
      <w:r w:rsidR="00D967B9" w:rsidRPr="00F5621E">
        <w:rPr>
          <w:color w:val="auto"/>
        </w:rPr>
        <w:t xml:space="preserve"> the student unless it has been agreed in </w:t>
      </w:r>
      <w:r w:rsidR="00900B77" w:rsidRPr="00F5621E">
        <w:rPr>
          <w:color w:val="auto"/>
        </w:rPr>
        <w:t>advance</w:t>
      </w:r>
      <w:r w:rsidR="00D967B9" w:rsidRPr="00F5621E">
        <w:rPr>
          <w:color w:val="auto"/>
        </w:rPr>
        <w:t xml:space="preserve"> </w:t>
      </w:r>
      <w:r w:rsidR="00900B77" w:rsidRPr="00F5621E">
        <w:rPr>
          <w:color w:val="auto"/>
        </w:rPr>
        <w:t>as a reasonable adjustment due to a disability.</w:t>
      </w:r>
      <w:r w:rsidR="005E58A7" w:rsidRPr="00F5621E">
        <w:rPr>
          <w:color w:val="auto"/>
        </w:rPr>
        <w:t xml:space="preserve"> </w:t>
      </w:r>
      <w:r w:rsidR="00BE571E" w:rsidRPr="00F5621E">
        <w:rPr>
          <w:color w:val="auto"/>
        </w:rPr>
        <w:t xml:space="preserve">The name and status of the support person must be provided to the University at least one working day </w:t>
      </w:r>
      <w:r w:rsidR="00B30D65" w:rsidRPr="00F5621E">
        <w:rPr>
          <w:color w:val="auto"/>
        </w:rPr>
        <w:t>before the meeting.</w:t>
      </w:r>
    </w:p>
    <w:p w14:paraId="5222948B" w14:textId="5E37A270" w:rsidR="00622305" w:rsidRPr="00F5621E" w:rsidRDefault="00196A96" w:rsidP="00C91548">
      <w:pPr>
        <w:pStyle w:val="Heading2"/>
        <w:rPr>
          <w:color w:val="auto"/>
        </w:rPr>
      </w:pPr>
      <w:r w:rsidRPr="00F5621E">
        <w:rPr>
          <w:rFonts w:cs="Arial"/>
          <w:color w:val="auto"/>
          <w:shd w:val="clear" w:color="auto" w:fill="FFFFFF"/>
        </w:rPr>
        <w:t xml:space="preserve">Legal representation at an academic appeal hearing would only be appropriate in very exceptional circumstances and must be agreed in advance. </w:t>
      </w:r>
      <w:r w:rsidR="00602F2A" w:rsidRPr="00F5621E">
        <w:rPr>
          <w:rFonts w:cs="Arial"/>
          <w:color w:val="auto"/>
          <w:shd w:val="clear" w:color="auto" w:fill="FFFFFF"/>
        </w:rPr>
        <w:t xml:space="preserve">If a student wishes to be accompanied by </w:t>
      </w:r>
      <w:r w:rsidR="00AE57A7" w:rsidRPr="00F5621E">
        <w:rPr>
          <w:rFonts w:cs="Arial"/>
          <w:color w:val="auto"/>
          <w:shd w:val="clear" w:color="auto" w:fill="FFFFFF"/>
        </w:rPr>
        <w:t>anybody with l</w:t>
      </w:r>
      <w:r w:rsidR="00622305" w:rsidRPr="00F5621E">
        <w:rPr>
          <w:rFonts w:cs="Arial"/>
          <w:color w:val="auto"/>
          <w:shd w:val="clear" w:color="auto" w:fill="FFFFFF"/>
        </w:rPr>
        <w:t>egal qualifications</w:t>
      </w:r>
      <w:r w:rsidR="00A42CE1" w:rsidRPr="00F5621E">
        <w:rPr>
          <w:rFonts w:cs="Arial"/>
          <w:color w:val="auto"/>
          <w:shd w:val="clear" w:color="auto" w:fill="FFFFFF"/>
        </w:rPr>
        <w:t xml:space="preserve">, they must notify the University of </w:t>
      </w:r>
      <w:r w:rsidR="00F5621E" w:rsidRPr="00F5621E">
        <w:rPr>
          <w:rFonts w:cs="Arial"/>
          <w:color w:val="auto"/>
          <w:shd w:val="clear" w:color="auto" w:fill="FFFFFF"/>
        </w:rPr>
        <w:t>their name and status</w:t>
      </w:r>
      <w:r w:rsidR="00676D60" w:rsidRPr="00F5621E">
        <w:rPr>
          <w:rFonts w:cs="Arial"/>
          <w:color w:val="auto"/>
          <w:shd w:val="clear" w:color="auto" w:fill="FFFFFF"/>
        </w:rPr>
        <w:t xml:space="preserve"> at least five </w:t>
      </w:r>
      <w:r w:rsidR="00622305" w:rsidRPr="00F5621E">
        <w:rPr>
          <w:rFonts w:cs="Arial"/>
          <w:color w:val="auto"/>
          <w:shd w:val="clear" w:color="auto" w:fill="FFFFFF"/>
        </w:rPr>
        <w:t>working days</w:t>
      </w:r>
      <w:r w:rsidR="00676D60" w:rsidRPr="00F5621E">
        <w:rPr>
          <w:rFonts w:cs="Arial"/>
          <w:color w:val="auto"/>
          <w:shd w:val="clear" w:color="auto" w:fill="FFFFFF"/>
        </w:rPr>
        <w:t xml:space="preserve"> before the meeting</w:t>
      </w:r>
      <w:r w:rsidR="00622305" w:rsidRPr="00F5621E">
        <w:rPr>
          <w:rFonts w:cs="Arial"/>
          <w:color w:val="auto"/>
          <w:shd w:val="clear" w:color="auto" w:fill="FFFFFF"/>
        </w:rPr>
        <w:t>.</w:t>
      </w:r>
    </w:p>
    <w:p w14:paraId="6D78EE82" w14:textId="05F2E407" w:rsidR="00C91548" w:rsidRPr="00F5621E" w:rsidRDefault="00D130E4" w:rsidP="00622305">
      <w:pPr>
        <w:pStyle w:val="Heading2"/>
        <w:numPr>
          <w:ilvl w:val="0"/>
          <w:numId w:val="0"/>
        </w:numPr>
        <w:ind w:left="718"/>
        <w:rPr>
          <w:color w:val="auto"/>
        </w:rPr>
      </w:pPr>
      <w:r w:rsidRPr="00F5621E">
        <w:rPr>
          <w:color w:val="auto"/>
        </w:rPr>
        <w:t>T</w:t>
      </w:r>
      <w:r w:rsidR="00784975" w:rsidRPr="00F5621E">
        <w:rPr>
          <w:color w:val="auto"/>
        </w:rPr>
        <w:t>he University will take suitable steps to ensure that its legal position is fully protected.</w:t>
      </w:r>
    </w:p>
    <w:p w14:paraId="5362D734" w14:textId="77777777" w:rsidR="00C91548" w:rsidRPr="00F5621E" w:rsidRDefault="00C91548" w:rsidP="00C91548">
      <w:pPr>
        <w:pStyle w:val="Heading2"/>
        <w:rPr>
          <w:color w:val="auto"/>
        </w:rPr>
      </w:pPr>
      <w:r w:rsidRPr="00F5621E">
        <w:rPr>
          <w:color w:val="auto"/>
        </w:rPr>
        <w:t>The student and the panel will be provided with the same documentation ahead of the meeting. If the student wishes to submit additional evidence to be considered, this must be received by Registry Services at least five working days before the date of the appeal hearing and will be accepted at the discretion of the Chair of the Appeal Board.</w:t>
      </w:r>
    </w:p>
    <w:p w14:paraId="11E6C7FA" w14:textId="77777777" w:rsidR="00C91548" w:rsidRPr="00F5621E" w:rsidRDefault="00C91548" w:rsidP="00C91548">
      <w:pPr>
        <w:pStyle w:val="Heading2"/>
        <w:rPr>
          <w:color w:val="auto"/>
        </w:rPr>
      </w:pPr>
      <w:r w:rsidRPr="00F5621E">
        <w:rPr>
          <w:color w:val="auto"/>
        </w:rPr>
        <w:t>The Chair of the Appeal Board has the right to exclude any matter introduced by the student or person accompanying them, if it is deemed to be irrelevant or not directly related to the grounds/circumstances cited in the original appeal submission.</w:t>
      </w:r>
    </w:p>
    <w:p w14:paraId="5D926C61" w14:textId="77777777" w:rsidR="00C91548" w:rsidRPr="00F1027F" w:rsidRDefault="00C91548" w:rsidP="00C91548">
      <w:pPr>
        <w:pStyle w:val="Heading2"/>
      </w:pPr>
      <w:r w:rsidRPr="00F5621E">
        <w:rPr>
          <w:color w:val="auto"/>
        </w:rPr>
        <w:t xml:space="preserve">Further guidance is available in the Procedures for the Conduct of an Appeal Hearing within the Academic Handbook: </w:t>
      </w:r>
      <w:hyperlink r:id="rId20" w:history="1">
        <w:r>
          <w:rPr>
            <w:rStyle w:val="Hyperlink"/>
          </w:rPr>
          <w:t>Academic Handbook Ah1_07 (cardiffmet.ac.uk)</w:t>
        </w:r>
      </w:hyperlink>
    </w:p>
    <w:p w14:paraId="74E9050A" w14:textId="77777777" w:rsidR="002F026B" w:rsidRDefault="002F026B" w:rsidP="1E9F873C">
      <w:pPr>
        <w:pStyle w:val="Heading2"/>
        <w:numPr>
          <w:ilvl w:val="1"/>
          <w:numId w:val="0"/>
        </w:numPr>
      </w:pPr>
    </w:p>
    <w:p w14:paraId="3987AA92" w14:textId="70D085D9" w:rsidR="001E7CF2" w:rsidRDefault="001E7CF2" w:rsidP="001E7CF2">
      <w:pPr>
        <w:pStyle w:val="Heading1"/>
      </w:pPr>
      <w:bookmarkStart w:id="16" w:name="_Toc168317352"/>
      <w:r>
        <w:t>Outcomes of an Appeal Board</w:t>
      </w:r>
      <w:bookmarkEnd w:id="16"/>
    </w:p>
    <w:p w14:paraId="4C92FD3E" w14:textId="77777777" w:rsidR="00EB386F" w:rsidRPr="00F5621E" w:rsidRDefault="00EB386F" w:rsidP="00EB386F">
      <w:pPr>
        <w:pStyle w:val="Heading2"/>
        <w:rPr>
          <w:color w:val="auto"/>
        </w:rPr>
      </w:pPr>
      <w:r w:rsidRPr="00F5621E">
        <w:rPr>
          <w:color w:val="auto"/>
        </w:rPr>
        <w:t>Having considered all available evidence, the Appeal Board will decide either:</w:t>
      </w:r>
    </w:p>
    <w:p w14:paraId="3E0A177A" w14:textId="77777777" w:rsidR="00EB386F" w:rsidRPr="00F5621E" w:rsidRDefault="00EB386F" w:rsidP="00A47EBF">
      <w:pPr>
        <w:pStyle w:val="Heading2"/>
        <w:numPr>
          <w:ilvl w:val="1"/>
          <w:numId w:val="9"/>
        </w:numPr>
        <w:rPr>
          <w:color w:val="auto"/>
        </w:rPr>
      </w:pPr>
      <w:r w:rsidRPr="00F5621E">
        <w:rPr>
          <w:color w:val="auto"/>
        </w:rPr>
        <w:t xml:space="preserve">that the appeal should be </w:t>
      </w:r>
      <w:proofErr w:type="gramStart"/>
      <w:r w:rsidRPr="00F5621E">
        <w:rPr>
          <w:color w:val="auto"/>
        </w:rPr>
        <w:t>rejected</w:t>
      </w:r>
      <w:proofErr w:type="gramEnd"/>
      <w:r w:rsidRPr="00F5621E">
        <w:rPr>
          <w:color w:val="auto"/>
        </w:rPr>
        <w:t xml:space="preserve"> and no further action be taken;</w:t>
      </w:r>
    </w:p>
    <w:p w14:paraId="24338900" w14:textId="77777777" w:rsidR="00EB386F" w:rsidRPr="00F5621E" w:rsidRDefault="00EB386F" w:rsidP="00A47EBF">
      <w:pPr>
        <w:pStyle w:val="Heading2"/>
        <w:numPr>
          <w:ilvl w:val="1"/>
          <w:numId w:val="9"/>
        </w:numPr>
        <w:rPr>
          <w:color w:val="auto"/>
        </w:rPr>
      </w:pPr>
      <w:r w:rsidRPr="00F5621E">
        <w:rPr>
          <w:color w:val="auto"/>
        </w:rPr>
        <w:lastRenderedPageBreak/>
        <w:t>that the appeal be upheld and the</w:t>
      </w:r>
      <w:r w:rsidRPr="00F5621E">
        <w:rPr>
          <w:color w:val="auto"/>
          <w:spacing w:val="-4"/>
        </w:rPr>
        <w:t xml:space="preserve"> case</w:t>
      </w:r>
      <w:r w:rsidRPr="00F5621E">
        <w:rPr>
          <w:color w:val="auto"/>
          <w:spacing w:val="-5"/>
        </w:rPr>
        <w:t xml:space="preserve"> </w:t>
      </w:r>
      <w:r w:rsidRPr="00F5621E">
        <w:rPr>
          <w:color w:val="auto"/>
        </w:rPr>
        <w:t>be</w:t>
      </w:r>
      <w:r w:rsidRPr="00F5621E">
        <w:rPr>
          <w:color w:val="auto"/>
          <w:spacing w:val="-2"/>
        </w:rPr>
        <w:t xml:space="preserve"> </w:t>
      </w:r>
      <w:r w:rsidRPr="00F5621E">
        <w:rPr>
          <w:color w:val="auto"/>
        </w:rPr>
        <w:t>referred</w:t>
      </w:r>
      <w:r w:rsidRPr="00F5621E">
        <w:rPr>
          <w:color w:val="auto"/>
          <w:spacing w:val="-1"/>
        </w:rPr>
        <w:t xml:space="preserve"> </w:t>
      </w:r>
      <w:r w:rsidRPr="00F5621E">
        <w:rPr>
          <w:color w:val="auto"/>
        </w:rPr>
        <w:t>back</w:t>
      </w:r>
      <w:r w:rsidRPr="00F5621E">
        <w:rPr>
          <w:color w:val="auto"/>
          <w:spacing w:val="-5"/>
        </w:rPr>
        <w:t xml:space="preserve"> </w:t>
      </w:r>
      <w:r w:rsidRPr="00F5621E">
        <w:rPr>
          <w:color w:val="auto"/>
        </w:rPr>
        <w:t>to</w:t>
      </w:r>
      <w:r w:rsidRPr="00F5621E">
        <w:rPr>
          <w:color w:val="auto"/>
          <w:spacing w:val="-4"/>
        </w:rPr>
        <w:t xml:space="preserve"> the </w:t>
      </w:r>
      <w:proofErr w:type="gramStart"/>
      <w:r w:rsidRPr="00F5621E">
        <w:rPr>
          <w:color w:val="auto"/>
        </w:rPr>
        <w:t xml:space="preserve">RDG, </w:t>
      </w:r>
      <w:r w:rsidRPr="00F5621E">
        <w:rPr>
          <w:color w:val="auto"/>
          <w:spacing w:val="-41"/>
        </w:rPr>
        <w:t xml:space="preserve"> </w:t>
      </w:r>
      <w:r w:rsidRPr="00F5621E">
        <w:rPr>
          <w:color w:val="auto"/>
        </w:rPr>
        <w:t>with</w:t>
      </w:r>
      <w:proofErr w:type="gramEnd"/>
      <w:r w:rsidRPr="00F5621E">
        <w:rPr>
          <w:color w:val="auto"/>
        </w:rPr>
        <w:t xml:space="preserve"> recommendations where appropriate.</w:t>
      </w:r>
    </w:p>
    <w:p w14:paraId="681B8B21" w14:textId="535F708F" w:rsidR="00EB386F" w:rsidRPr="00F5621E" w:rsidRDefault="00EB386F" w:rsidP="00EB386F">
      <w:pPr>
        <w:pStyle w:val="Heading2"/>
        <w:rPr>
          <w:color w:val="auto"/>
        </w:rPr>
      </w:pPr>
      <w:r w:rsidRPr="00F5621E">
        <w:rPr>
          <w:color w:val="auto"/>
        </w:rPr>
        <w:t xml:space="preserve">If the appeal is rejected, the student will be given reasons for the decision. Regardless of the outcome, the student will have the opportunity to request a </w:t>
      </w:r>
      <w:r w:rsidR="00366908" w:rsidRPr="00F5621E">
        <w:rPr>
          <w:color w:val="auto"/>
        </w:rPr>
        <w:t>Stage Two R</w:t>
      </w:r>
      <w:r w:rsidRPr="00F5621E">
        <w:rPr>
          <w:color w:val="auto"/>
        </w:rPr>
        <w:t xml:space="preserve">eview of the decision (see </w:t>
      </w:r>
      <w:r w:rsidR="00634385" w:rsidRPr="00F5621E">
        <w:rPr>
          <w:color w:val="auto"/>
        </w:rPr>
        <w:t>1</w:t>
      </w:r>
      <w:r w:rsidR="00366908" w:rsidRPr="00F5621E">
        <w:rPr>
          <w:color w:val="auto"/>
        </w:rPr>
        <w:t>1</w:t>
      </w:r>
      <w:r w:rsidRPr="00F5621E">
        <w:rPr>
          <w:color w:val="auto"/>
        </w:rPr>
        <w:t xml:space="preserve"> below).</w:t>
      </w:r>
    </w:p>
    <w:p w14:paraId="03B571CB" w14:textId="77777777" w:rsidR="00EB386F" w:rsidRPr="00F5621E" w:rsidRDefault="00EB386F" w:rsidP="00EB386F">
      <w:pPr>
        <w:pStyle w:val="Heading2"/>
        <w:rPr>
          <w:color w:val="auto"/>
          <w:lang w:val="en-US"/>
        </w:rPr>
      </w:pPr>
      <w:r w:rsidRPr="00F5621E">
        <w:rPr>
          <w:color w:val="auto"/>
          <w:lang w:val="en-US"/>
        </w:rPr>
        <w:t>When an appeal is upheld, the Appeal Board may take one of the following courses of action:</w:t>
      </w:r>
    </w:p>
    <w:p w14:paraId="62DB3570" w14:textId="05E82323" w:rsidR="00EB386F" w:rsidRPr="00F5621E" w:rsidRDefault="00EB386F" w:rsidP="00A47EBF">
      <w:pPr>
        <w:numPr>
          <w:ilvl w:val="1"/>
          <w:numId w:val="8"/>
        </w:numPr>
        <w:jc w:val="both"/>
        <w:rPr>
          <w:color w:val="auto"/>
          <w:lang w:val="en-US"/>
        </w:rPr>
      </w:pPr>
      <w:r w:rsidRPr="00F5621E">
        <w:rPr>
          <w:color w:val="auto"/>
          <w:lang w:val="en-US"/>
        </w:rPr>
        <w:t>to recommend to the Examination Panel that, for the reasons stated, the original</w:t>
      </w:r>
      <w:r w:rsidR="00640807" w:rsidRPr="00F5621E">
        <w:rPr>
          <w:color w:val="auto"/>
          <w:lang w:val="en-US"/>
        </w:rPr>
        <w:t xml:space="preserve"> </w:t>
      </w:r>
      <w:r w:rsidR="00EB6057" w:rsidRPr="00F5621E">
        <w:rPr>
          <w:color w:val="auto"/>
          <w:lang w:val="en-US"/>
        </w:rPr>
        <w:t>panel</w:t>
      </w:r>
      <w:r w:rsidRPr="00F5621E">
        <w:rPr>
          <w:color w:val="auto"/>
          <w:lang w:val="en-US"/>
        </w:rPr>
        <w:t xml:space="preserve"> should reconsider the</w:t>
      </w:r>
      <w:r w:rsidR="00EB6057" w:rsidRPr="00F5621E">
        <w:rPr>
          <w:color w:val="auto"/>
          <w:lang w:val="en-US"/>
        </w:rPr>
        <w:t xml:space="preserve"> previous</w:t>
      </w:r>
      <w:r w:rsidRPr="00F5621E">
        <w:rPr>
          <w:color w:val="auto"/>
          <w:lang w:val="en-US"/>
        </w:rPr>
        <w:t xml:space="preserve"> </w:t>
      </w:r>
      <w:proofErr w:type="gramStart"/>
      <w:r w:rsidRPr="00F5621E">
        <w:rPr>
          <w:color w:val="auto"/>
          <w:lang w:val="en-US"/>
        </w:rPr>
        <w:t>decision;</w:t>
      </w:r>
      <w:proofErr w:type="gramEnd"/>
    </w:p>
    <w:p w14:paraId="0E9DE87A" w14:textId="3792104A" w:rsidR="00EB386F" w:rsidRPr="00F5621E" w:rsidRDefault="00EB386F" w:rsidP="00A47EBF">
      <w:pPr>
        <w:numPr>
          <w:ilvl w:val="1"/>
          <w:numId w:val="8"/>
        </w:numPr>
        <w:jc w:val="both"/>
        <w:rPr>
          <w:color w:val="auto"/>
          <w:lang w:val="en-US"/>
        </w:rPr>
      </w:pPr>
      <w:r w:rsidRPr="00F5621E">
        <w:rPr>
          <w:color w:val="auto"/>
          <w:lang w:val="en-US"/>
        </w:rPr>
        <w:t xml:space="preserve">to recommend that an entirely new Examination </w:t>
      </w:r>
      <w:r w:rsidR="00EB6057" w:rsidRPr="00F5621E">
        <w:rPr>
          <w:color w:val="auto"/>
          <w:lang w:val="en-US"/>
        </w:rPr>
        <w:t>Panel</w:t>
      </w:r>
      <w:r w:rsidRPr="00F5621E">
        <w:rPr>
          <w:color w:val="auto"/>
          <w:lang w:val="en-US"/>
        </w:rPr>
        <w:t xml:space="preserve"> should reconsider the decision of the previous </w:t>
      </w:r>
      <w:proofErr w:type="gramStart"/>
      <w:r w:rsidR="003540AD" w:rsidRPr="00F5621E">
        <w:rPr>
          <w:color w:val="auto"/>
          <w:lang w:val="en-US"/>
        </w:rPr>
        <w:t>p</w:t>
      </w:r>
      <w:r w:rsidR="00EB6057" w:rsidRPr="00F5621E">
        <w:rPr>
          <w:color w:val="auto"/>
          <w:lang w:val="en-US"/>
        </w:rPr>
        <w:t>anel</w:t>
      </w:r>
      <w:r w:rsidRPr="00F5621E">
        <w:rPr>
          <w:color w:val="auto"/>
          <w:lang w:val="en-US"/>
        </w:rPr>
        <w:t>;</w:t>
      </w:r>
      <w:proofErr w:type="gramEnd"/>
    </w:p>
    <w:p w14:paraId="5AEC3B2E" w14:textId="1F0E8808" w:rsidR="00EB386F" w:rsidRPr="00F5621E" w:rsidRDefault="00EB386F" w:rsidP="00A47EBF">
      <w:pPr>
        <w:numPr>
          <w:ilvl w:val="1"/>
          <w:numId w:val="8"/>
        </w:numPr>
        <w:jc w:val="both"/>
        <w:rPr>
          <w:color w:val="auto"/>
          <w:lang w:val="en-US"/>
        </w:rPr>
      </w:pPr>
      <w:r w:rsidRPr="00F5621E">
        <w:rPr>
          <w:color w:val="auto"/>
          <w:lang w:val="en-US"/>
        </w:rPr>
        <w:t>to give the student permission to rewrite the thesis and to resubmit for re-examination by the original Examination Panel within a specified time-</w:t>
      </w:r>
      <w:proofErr w:type="gramStart"/>
      <w:r w:rsidRPr="00F5621E">
        <w:rPr>
          <w:color w:val="auto"/>
          <w:lang w:val="en-US"/>
        </w:rPr>
        <w:t>limit</w:t>
      </w:r>
      <w:r w:rsidR="003540AD" w:rsidRPr="00F5621E">
        <w:rPr>
          <w:color w:val="auto"/>
          <w:lang w:val="en-US"/>
        </w:rPr>
        <w:t>;</w:t>
      </w:r>
      <w:proofErr w:type="gramEnd"/>
    </w:p>
    <w:p w14:paraId="33A729A8" w14:textId="0A03AA82" w:rsidR="00EB386F" w:rsidRPr="00F5621E" w:rsidRDefault="00EB386F" w:rsidP="00A47EBF">
      <w:pPr>
        <w:numPr>
          <w:ilvl w:val="1"/>
          <w:numId w:val="8"/>
        </w:numPr>
        <w:jc w:val="both"/>
        <w:rPr>
          <w:color w:val="auto"/>
          <w:lang w:val="en-US"/>
        </w:rPr>
      </w:pPr>
      <w:r w:rsidRPr="00F5621E">
        <w:rPr>
          <w:color w:val="auto"/>
          <w:lang w:val="en-US"/>
        </w:rPr>
        <w:t xml:space="preserve">to give the student permission to re-write the thesis and to resubmit for re-examination by an entirely new Examination Panel within a specified time </w:t>
      </w:r>
      <w:proofErr w:type="gramStart"/>
      <w:r w:rsidRPr="00F5621E">
        <w:rPr>
          <w:color w:val="auto"/>
          <w:lang w:val="en-US"/>
        </w:rPr>
        <w:t>limit</w:t>
      </w:r>
      <w:r w:rsidR="00F21188" w:rsidRPr="00F5621E">
        <w:rPr>
          <w:color w:val="auto"/>
          <w:lang w:val="en-US"/>
        </w:rPr>
        <w:t>;</w:t>
      </w:r>
      <w:proofErr w:type="gramEnd"/>
    </w:p>
    <w:p w14:paraId="000E85E0" w14:textId="4C7C5A78" w:rsidR="00F23A04" w:rsidRPr="00F5621E" w:rsidRDefault="00F23A04" w:rsidP="00A47EBF">
      <w:pPr>
        <w:numPr>
          <w:ilvl w:val="1"/>
          <w:numId w:val="8"/>
        </w:numPr>
        <w:jc w:val="both"/>
        <w:rPr>
          <w:color w:val="auto"/>
          <w:lang w:val="en-US"/>
        </w:rPr>
      </w:pPr>
      <w:r w:rsidRPr="00F5621E">
        <w:rPr>
          <w:color w:val="auto"/>
          <w:lang w:val="en-US"/>
        </w:rPr>
        <w:t xml:space="preserve">to recommend to RDG that a student be reinstated </w:t>
      </w:r>
      <w:r w:rsidR="005B0F50" w:rsidRPr="00F5621E">
        <w:rPr>
          <w:color w:val="auto"/>
          <w:lang w:val="en-US"/>
        </w:rPr>
        <w:t>on their programme</w:t>
      </w:r>
      <w:r w:rsidR="00F21188" w:rsidRPr="00F5621E">
        <w:rPr>
          <w:color w:val="auto"/>
          <w:lang w:val="en-US"/>
        </w:rPr>
        <w:t>.</w:t>
      </w:r>
    </w:p>
    <w:p w14:paraId="279DE745" w14:textId="74A18B71" w:rsidR="00EB386F" w:rsidRPr="00F5621E" w:rsidRDefault="00EB386F" w:rsidP="00EB6057">
      <w:pPr>
        <w:pStyle w:val="Heading2"/>
        <w:rPr>
          <w:color w:val="auto"/>
          <w:lang w:val="en-US"/>
        </w:rPr>
      </w:pPr>
      <w:r w:rsidRPr="00F5621E">
        <w:rPr>
          <w:color w:val="auto"/>
          <w:lang w:val="en-US"/>
        </w:rPr>
        <w:t xml:space="preserve">When a re-examination is undertaken </w:t>
      </w:r>
      <w:r w:rsidR="00667552" w:rsidRPr="00F5621E">
        <w:rPr>
          <w:color w:val="auto"/>
          <w:lang w:val="en-US"/>
        </w:rPr>
        <w:t>under (ii)</w:t>
      </w:r>
      <w:r w:rsidRPr="00F5621E">
        <w:rPr>
          <w:color w:val="auto"/>
          <w:lang w:val="en-US"/>
        </w:rPr>
        <w:t xml:space="preserve"> or </w:t>
      </w:r>
      <w:r w:rsidR="00667552" w:rsidRPr="00F5621E">
        <w:rPr>
          <w:color w:val="auto"/>
          <w:lang w:val="en-US"/>
        </w:rPr>
        <w:t>(</w:t>
      </w:r>
      <w:r w:rsidRPr="00F5621E">
        <w:rPr>
          <w:color w:val="auto"/>
          <w:lang w:val="en-US"/>
        </w:rPr>
        <w:t>iv</w:t>
      </w:r>
      <w:r w:rsidR="00667552" w:rsidRPr="00F5621E">
        <w:rPr>
          <w:color w:val="auto"/>
          <w:lang w:val="en-US"/>
        </w:rPr>
        <w:t>)</w:t>
      </w:r>
      <w:r w:rsidRPr="00F5621E">
        <w:rPr>
          <w:color w:val="auto"/>
          <w:lang w:val="en-US"/>
        </w:rPr>
        <w:t xml:space="preserve"> above, new examiners will be appointed. The new examiners will not be provided with any information about the previous examination other than that they are conducting a re-examination of the student’s submission on appeal.</w:t>
      </w:r>
    </w:p>
    <w:p w14:paraId="6FBDFCCF" w14:textId="77777777" w:rsidR="00EB386F" w:rsidRPr="00F5621E" w:rsidRDefault="00EB386F" w:rsidP="00EB6057">
      <w:pPr>
        <w:pStyle w:val="Heading2"/>
        <w:rPr>
          <w:color w:val="auto"/>
          <w:lang w:val="en-US"/>
        </w:rPr>
      </w:pPr>
      <w:r w:rsidRPr="00F5621E">
        <w:rPr>
          <w:color w:val="auto"/>
        </w:rPr>
        <w:t>The student and other relevant parties (including the Chair of the Examination Panel, the Chair of RDG and the supervisory team) will be notified of the decision of the Appeal Board in writing within five working days.</w:t>
      </w:r>
    </w:p>
    <w:p w14:paraId="6D8A3789" w14:textId="32E39BEC" w:rsidR="003C7CFB" w:rsidRPr="0093274E" w:rsidRDefault="00630623" w:rsidP="00EB6057">
      <w:pPr>
        <w:pStyle w:val="Heading2"/>
        <w:rPr>
          <w:color w:val="auto"/>
          <w:lang w:val="en-US"/>
        </w:rPr>
      </w:pPr>
      <w:r w:rsidRPr="0093274E">
        <w:rPr>
          <w:rStyle w:val="ui-provider"/>
          <w:color w:val="auto"/>
        </w:rPr>
        <w:t xml:space="preserve">Informed by the course of action identified by the Appeal Board, </w:t>
      </w:r>
      <w:r w:rsidR="0067060B" w:rsidRPr="0093274E">
        <w:rPr>
          <w:color w:val="auto"/>
        </w:rPr>
        <w:t xml:space="preserve">R&amp;IS will confirm the details of the next steps to the student, including any enrolment </w:t>
      </w:r>
      <w:r w:rsidRPr="0093274E">
        <w:rPr>
          <w:color w:val="auto"/>
        </w:rPr>
        <w:t xml:space="preserve">and progression </w:t>
      </w:r>
      <w:r w:rsidR="0067060B" w:rsidRPr="0093274E">
        <w:rPr>
          <w:color w:val="auto"/>
        </w:rPr>
        <w:t>requirements</w:t>
      </w:r>
      <w:r w:rsidR="00D85B40" w:rsidRPr="0093274E">
        <w:rPr>
          <w:color w:val="auto"/>
        </w:rPr>
        <w:t xml:space="preserve">, signposts to additional </w:t>
      </w:r>
      <w:r w:rsidR="00A47EBF">
        <w:rPr>
          <w:color w:val="auto"/>
        </w:rPr>
        <w:t xml:space="preserve">academic </w:t>
      </w:r>
      <w:r w:rsidR="00D85B40" w:rsidRPr="0093274E">
        <w:rPr>
          <w:color w:val="auto"/>
        </w:rPr>
        <w:t>support</w:t>
      </w:r>
      <w:r w:rsidR="0067060B" w:rsidRPr="0093274E">
        <w:rPr>
          <w:color w:val="auto"/>
        </w:rPr>
        <w:t xml:space="preserve"> and resubmission deadline (if applicable).</w:t>
      </w:r>
    </w:p>
    <w:p w14:paraId="66E130B8" w14:textId="77777777" w:rsidR="00630FBE" w:rsidRPr="001A6560" w:rsidRDefault="00630FBE" w:rsidP="00630FBE">
      <w:pPr>
        <w:pStyle w:val="Heading2"/>
        <w:numPr>
          <w:ilvl w:val="0"/>
          <w:numId w:val="0"/>
        </w:numPr>
        <w:ind w:left="576"/>
        <w:rPr>
          <w:highlight w:val="lightGray"/>
          <w:lang w:val="en-US"/>
        </w:rPr>
      </w:pPr>
    </w:p>
    <w:p w14:paraId="27795B19" w14:textId="4F1BE51F" w:rsidR="00630FBE" w:rsidRPr="00AF71DD" w:rsidRDefault="00630FBE" w:rsidP="00630FBE">
      <w:pPr>
        <w:pStyle w:val="Heading1"/>
      </w:pPr>
      <w:bookmarkStart w:id="17" w:name="_Toc168317353"/>
      <w:r w:rsidRPr="00AF71DD">
        <w:t xml:space="preserve">Actions following </w:t>
      </w:r>
      <w:r w:rsidR="00DF4655">
        <w:t>R</w:t>
      </w:r>
      <w:r w:rsidRPr="00AF71DD">
        <w:t>esolution of an Appeal</w:t>
      </w:r>
      <w:bookmarkEnd w:id="17"/>
    </w:p>
    <w:p w14:paraId="75A8859A" w14:textId="77777777" w:rsidR="00630FBE" w:rsidRPr="00F5621E" w:rsidRDefault="00630FBE" w:rsidP="00630FBE">
      <w:pPr>
        <w:pStyle w:val="Heading2"/>
        <w:rPr>
          <w:color w:val="auto"/>
        </w:rPr>
      </w:pPr>
      <w:r w:rsidRPr="00F5621E">
        <w:rPr>
          <w:color w:val="auto"/>
        </w:rPr>
        <w:t>Registry Services, in conjunction with R&amp;IS, will arrange for the recommendations of the Appeal Board to be implemented.</w:t>
      </w:r>
    </w:p>
    <w:p w14:paraId="5D1A55A3" w14:textId="77777777" w:rsidR="00630FBE" w:rsidRPr="00F5621E" w:rsidRDefault="00630FBE" w:rsidP="00630FBE">
      <w:pPr>
        <w:pStyle w:val="Heading2"/>
        <w:rPr>
          <w:color w:val="auto"/>
        </w:rPr>
      </w:pPr>
      <w:r w:rsidRPr="00F5621E">
        <w:rPr>
          <w:color w:val="auto"/>
        </w:rPr>
        <w:t>The Appeal Board may make recommendations for consideration by the RDG or the Academic Board, as appropriate, on any matter arising from the consideration of an appeal.</w:t>
      </w:r>
    </w:p>
    <w:p w14:paraId="56542F3F" w14:textId="77777777" w:rsidR="00630FBE" w:rsidRPr="00F5621E" w:rsidRDefault="00630FBE" w:rsidP="00630FBE">
      <w:pPr>
        <w:pStyle w:val="Heading2"/>
        <w:rPr>
          <w:color w:val="auto"/>
        </w:rPr>
      </w:pPr>
      <w:r w:rsidRPr="00F5621E">
        <w:rPr>
          <w:color w:val="auto"/>
        </w:rPr>
        <w:t xml:space="preserve">It may be that </w:t>
      </w:r>
      <w:proofErr w:type="gramStart"/>
      <w:r w:rsidRPr="00F5621E">
        <w:rPr>
          <w:color w:val="auto"/>
        </w:rPr>
        <w:t>as a result of</w:t>
      </w:r>
      <w:proofErr w:type="gramEnd"/>
      <w:r w:rsidRPr="00F5621E">
        <w:rPr>
          <w:color w:val="auto"/>
        </w:rPr>
        <w:t xml:space="preserve"> issues raised within the appeal, the Chair of the Appeal Board and/or the Director of Registry Services feel there are additional </w:t>
      </w:r>
      <w:r w:rsidRPr="00F5621E">
        <w:rPr>
          <w:color w:val="auto"/>
        </w:rPr>
        <w:lastRenderedPageBreak/>
        <w:t>recommendations to be made within the University, in the interests of quality enhancement or improving student experience.</w:t>
      </w:r>
    </w:p>
    <w:p w14:paraId="2198E7FB" w14:textId="1669890C" w:rsidR="004D23D7" w:rsidRPr="00DF4655" w:rsidRDefault="00630FBE" w:rsidP="00DF4655">
      <w:pPr>
        <w:pStyle w:val="Heading2"/>
        <w:rPr>
          <w:color w:val="auto"/>
        </w:rPr>
      </w:pPr>
      <w:r w:rsidRPr="00F5621E">
        <w:rPr>
          <w:color w:val="auto"/>
        </w:rPr>
        <w:t>If a procedural irregularity has occurred, the Director of Registry Services may take further action to avoid possibility of irregularities in the future.</w:t>
      </w:r>
    </w:p>
    <w:p w14:paraId="29D0EB02" w14:textId="77777777" w:rsidR="004D23D7" w:rsidRDefault="004D23D7" w:rsidP="004D23D7">
      <w:pPr>
        <w:pStyle w:val="Heading1"/>
      </w:pPr>
      <w:bookmarkStart w:id="18" w:name="_Toc168317354"/>
      <w:r>
        <w:t xml:space="preserve">Stage Two - </w:t>
      </w:r>
      <w:r w:rsidRPr="00F75BB4">
        <w:t>Requesting a Review of the Appeal Outcome</w:t>
      </w:r>
      <w:bookmarkEnd w:id="18"/>
    </w:p>
    <w:p w14:paraId="4ED4862A" w14:textId="77777777" w:rsidR="004D23D7" w:rsidRPr="00F5621E" w:rsidRDefault="004D23D7" w:rsidP="004D23D7">
      <w:pPr>
        <w:pStyle w:val="Heading2"/>
        <w:rPr>
          <w:color w:val="auto"/>
        </w:rPr>
      </w:pPr>
      <w:r w:rsidRPr="00F5621E">
        <w:rPr>
          <w:color w:val="auto"/>
        </w:rPr>
        <w:t xml:space="preserve">Once the student has received the formal appeal outcome, they will have the right to request a review of the outcome. The Stage Two review constitutes a review of the process of the formal academic appeal to ensure that appropriate procedures were </w:t>
      </w:r>
      <w:proofErr w:type="gramStart"/>
      <w:r w:rsidRPr="00F5621E">
        <w:rPr>
          <w:color w:val="auto"/>
        </w:rPr>
        <w:t>followed</w:t>
      </w:r>
      <w:proofErr w:type="gramEnd"/>
      <w:r w:rsidRPr="00F5621E">
        <w:rPr>
          <w:color w:val="auto"/>
        </w:rPr>
        <w:t xml:space="preserve"> and that the decision made was reasonable.</w:t>
      </w:r>
    </w:p>
    <w:p w14:paraId="4A2BDC50" w14:textId="77777777" w:rsidR="004D23D7" w:rsidRPr="00F5621E" w:rsidRDefault="004D23D7" w:rsidP="004D23D7">
      <w:pPr>
        <w:pStyle w:val="Heading2"/>
        <w:rPr>
          <w:color w:val="auto"/>
        </w:rPr>
      </w:pPr>
      <w:r w:rsidRPr="00F5621E">
        <w:rPr>
          <w:color w:val="auto"/>
        </w:rPr>
        <w:t>A student may not request a review simply due to being dissatisfied of the outcome, but only if one of the below applies:</w:t>
      </w:r>
    </w:p>
    <w:p w14:paraId="0FAFC7DA" w14:textId="6A36C258" w:rsidR="004D23D7" w:rsidRPr="00F5621E" w:rsidRDefault="004D23D7" w:rsidP="00A47EBF">
      <w:pPr>
        <w:pStyle w:val="Heading2"/>
        <w:numPr>
          <w:ilvl w:val="0"/>
          <w:numId w:val="10"/>
        </w:numPr>
        <w:rPr>
          <w:color w:val="auto"/>
        </w:rPr>
      </w:pPr>
      <w:r w:rsidRPr="00F5621E">
        <w:rPr>
          <w:color w:val="auto"/>
        </w:rPr>
        <w:t xml:space="preserve">there is evidence that the appeal procedures were not correctly followed and that this had a material effect on the outcome of the </w:t>
      </w:r>
      <w:proofErr w:type="gramStart"/>
      <w:r w:rsidRPr="00F5621E">
        <w:rPr>
          <w:color w:val="auto"/>
        </w:rPr>
        <w:t>appeal;</w:t>
      </w:r>
      <w:proofErr w:type="gramEnd"/>
    </w:p>
    <w:p w14:paraId="6592A10D" w14:textId="7A158D31" w:rsidR="004D23D7" w:rsidRPr="00F5621E" w:rsidRDefault="004D23D7" w:rsidP="00A47EBF">
      <w:pPr>
        <w:pStyle w:val="Heading2"/>
        <w:numPr>
          <w:ilvl w:val="0"/>
          <w:numId w:val="10"/>
        </w:numPr>
        <w:rPr>
          <w:color w:val="auto"/>
        </w:rPr>
      </w:pPr>
      <w:r w:rsidRPr="00F5621E">
        <w:rPr>
          <w:color w:val="auto"/>
        </w:rPr>
        <w:t>the student has new and relevant evidence which could not have been submitted by the student with their original appeal.</w:t>
      </w:r>
    </w:p>
    <w:p w14:paraId="45396C07" w14:textId="77777777" w:rsidR="004D23D7" w:rsidRPr="00F5621E" w:rsidRDefault="004D23D7" w:rsidP="004D23D7">
      <w:pPr>
        <w:pStyle w:val="Heading2"/>
        <w:rPr>
          <w:color w:val="auto"/>
        </w:rPr>
      </w:pPr>
      <w:r w:rsidRPr="00F5621E">
        <w:rPr>
          <w:color w:val="auto"/>
        </w:rPr>
        <w:t>Students cannot cite new grounds or present significant new evidence at this stage unless there are exceptional reasons which prevented such disclosure at an earlier stage.</w:t>
      </w:r>
    </w:p>
    <w:p w14:paraId="46F22F7F" w14:textId="77777777" w:rsidR="004D23D7" w:rsidRPr="00F5621E" w:rsidRDefault="004D23D7" w:rsidP="004D23D7">
      <w:pPr>
        <w:pStyle w:val="Heading2"/>
        <w:rPr>
          <w:color w:val="auto"/>
        </w:rPr>
      </w:pPr>
      <w:r w:rsidRPr="00F5621E">
        <w:rPr>
          <w:color w:val="auto"/>
        </w:rPr>
        <w:t xml:space="preserve">A student may initiate a Stage Two review of their appeal by emailing Registry Services within </w:t>
      </w:r>
      <w:r w:rsidRPr="00F5621E">
        <w:rPr>
          <w:b/>
          <w:bCs/>
          <w:color w:val="auto"/>
        </w:rPr>
        <w:t>14 days</w:t>
      </w:r>
      <w:r w:rsidRPr="00F5621E">
        <w:rPr>
          <w:color w:val="auto"/>
        </w:rPr>
        <w:t xml:space="preserve"> of their Stage One outcome letter/email. They should state on which of the above two grounds they are requesting a review and include any relevant details and additional evidence, where appropriate.</w:t>
      </w:r>
    </w:p>
    <w:p w14:paraId="5414E4A4" w14:textId="77777777" w:rsidR="004D23D7" w:rsidRPr="00F5621E" w:rsidRDefault="004D23D7" w:rsidP="004D23D7">
      <w:pPr>
        <w:pStyle w:val="Heading2"/>
        <w:rPr>
          <w:color w:val="auto"/>
        </w:rPr>
      </w:pPr>
      <w:r w:rsidRPr="00F5621E">
        <w:rPr>
          <w:color w:val="auto"/>
        </w:rPr>
        <w:t>The Stage Two review will be carried out by Registry Services within four weeks and will result in one of the below outcomes:</w:t>
      </w:r>
    </w:p>
    <w:p w14:paraId="409448AF" w14:textId="4612F642" w:rsidR="004D23D7" w:rsidRPr="00F5621E" w:rsidRDefault="0048441C" w:rsidP="00A47EBF">
      <w:pPr>
        <w:pStyle w:val="Heading2"/>
        <w:numPr>
          <w:ilvl w:val="0"/>
          <w:numId w:val="11"/>
        </w:numPr>
        <w:rPr>
          <w:color w:val="auto"/>
        </w:rPr>
      </w:pPr>
      <w:r w:rsidRPr="00F5621E">
        <w:rPr>
          <w:color w:val="auto"/>
        </w:rPr>
        <w:t>t</w:t>
      </w:r>
      <w:r w:rsidR="004D23D7" w:rsidRPr="00F5621E">
        <w:rPr>
          <w:color w:val="auto"/>
        </w:rPr>
        <w:t xml:space="preserve">here is no evidence of procedural irregularities or other grounds for reconsidering the appeal, and therefore no change to the Stage One </w:t>
      </w:r>
      <w:proofErr w:type="gramStart"/>
      <w:r w:rsidR="004D23D7" w:rsidRPr="00F5621E">
        <w:rPr>
          <w:color w:val="auto"/>
        </w:rPr>
        <w:t>outcome;</w:t>
      </w:r>
      <w:proofErr w:type="gramEnd"/>
    </w:p>
    <w:p w14:paraId="2D0B0848" w14:textId="3DB38F9F" w:rsidR="004D23D7" w:rsidRPr="00F5621E" w:rsidRDefault="0048441C" w:rsidP="00A47EBF">
      <w:pPr>
        <w:pStyle w:val="Heading2"/>
        <w:numPr>
          <w:ilvl w:val="0"/>
          <w:numId w:val="11"/>
        </w:numPr>
        <w:rPr>
          <w:color w:val="auto"/>
        </w:rPr>
      </w:pPr>
      <w:r w:rsidRPr="00F5621E">
        <w:rPr>
          <w:color w:val="auto"/>
        </w:rPr>
        <w:t>t</w:t>
      </w:r>
      <w:r w:rsidR="004D23D7" w:rsidRPr="00F5621E">
        <w:rPr>
          <w:color w:val="auto"/>
        </w:rPr>
        <w:t xml:space="preserve">here are grounds for part or </w:t>
      </w:r>
      <w:proofErr w:type="gramStart"/>
      <w:r w:rsidR="004D23D7" w:rsidRPr="00F5621E">
        <w:rPr>
          <w:color w:val="auto"/>
        </w:rPr>
        <w:t>all of</w:t>
      </w:r>
      <w:proofErr w:type="gramEnd"/>
      <w:r w:rsidR="004D23D7" w:rsidRPr="00F5621E">
        <w:rPr>
          <w:color w:val="auto"/>
        </w:rPr>
        <w:t xml:space="preserve"> the appeal to be reconsidered, in which case it will be referred to the Appeal Board Chair for a final recommendation.</w:t>
      </w:r>
    </w:p>
    <w:p w14:paraId="1B497E5C" w14:textId="77777777" w:rsidR="004D23D7" w:rsidRPr="00F5621E" w:rsidRDefault="004D23D7" w:rsidP="000271AA">
      <w:pPr>
        <w:pStyle w:val="Heading2"/>
        <w:rPr>
          <w:color w:val="auto"/>
        </w:rPr>
      </w:pPr>
      <w:r w:rsidRPr="00F5621E">
        <w:rPr>
          <w:color w:val="auto"/>
        </w:rPr>
        <w:t>When the review is concluded, a Completion of Procedures letter will be issued to the student and no further action will be taken by the University in relation to the appeal.</w:t>
      </w:r>
    </w:p>
    <w:p w14:paraId="6D815ED8" w14:textId="77777777" w:rsidR="004D23D7" w:rsidRDefault="004D23D7" w:rsidP="004D23D7"/>
    <w:p w14:paraId="172072FE" w14:textId="77777777" w:rsidR="004D23D7" w:rsidRDefault="004D23D7" w:rsidP="000271AA">
      <w:pPr>
        <w:pStyle w:val="Heading1"/>
      </w:pPr>
      <w:bookmarkStart w:id="19" w:name="_Toc168317355"/>
      <w:r w:rsidRPr="00F75BB4">
        <w:t>Office of the Independent Adjudicator</w:t>
      </w:r>
      <w:bookmarkEnd w:id="19"/>
    </w:p>
    <w:p w14:paraId="52E82AC0" w14:textId="4919C19B" w:rsidR="004D23D7" w:rsidRPr="00F5621E" w:rsidRDefault="004D23D7" w:rsidP="000271AA">
      <w:pPr>
        <w:pStyle w:val="Heading2"/>
        <w:rPr>
          <w:color w:val="auto"/>
        </w:rPr>
      </w:pPr>
      <w:r w:rsidRPr="00F5621E">
        <w:rPr>
          <w:color w:val="auto"/>
        </w:rPr>
        <w:lastRenderedPageBreak/>
        <w:t xml:space="preserve">The Office of the Independent Adjudicator for Higher Education (the OIA) </w:t>
      </w:r>
      <w:r w:rsidR="000271AA" w:rsidRPr="00F5621E">
        <w:rPr>
          <w:color w:val="auto"/>
        </w:rPr>
        <w:t>is</w:t>
      </w:r>
      <w:r w:rsidR="00B0017A" w:rsidRPr="00F5621E">
        <w:rPr>
          <w:color w:val="auto"/>
        </w:rPr>
        <w:t xml:space="preserve"> </w:t>
      </w:r>
      <w:r w:rsidRPr="00F5621E">
        <w:rPr>
          <w:color w:val="auto"/>
        </w:rPr>
        <w:t>designated as the operator of an independent scheme in Wales for the review of student complaints and appeals</w:t>
      </w:r>
      <w:r w:rsidR="00B0017A" w:rsidRPr="00F5621E">
        <w:rPr>
          <w:color w:val="auto"/>
        </w:rPr>
        <w:t>,</w:t>
      </w:r>
      <w:r w:rsidRPr="00F5621E">
        <w:rPr>
          <w:color w:val="auto"/>
        </w:rPr>
        <w:t xml:space="preserve"> as per the Higher Education Act 2004.</w:t>
      </w:r>
    </w:p>
    <w:p w14:paraId="2FBCF599" w14:textId="3B7C1DBA" w:rsidR="004D23D7" w:rsidRPr="00F5621E" w:rsidRDefault="004D23D7" w:rsidP="000271AA">
      <w:pPr>
        <w:pStyle w:val="Heading2"/>
        <w:rPr>
          <w:color w:val="auto"/>
        </w:rPr>
      </w:pPr>
      <w:r w:rsidRPr="00F5621E">
        <w:rPr>
          <w:color w:val="auto"/>
        </w:rPr>
        <w:t xml:space="preserve">Once all the relevant </w:t>
      </w:r>
      <w:r w:rsidR="00B0017A" w:rsidRPr="00F5621E">
        <w:rPr>
          <w:color w:val="auto"/>
        </w:rPr>
        <w:t>u</w:t>
      </w:r>
      <w:r w:rsidRPr="00F5621E">
        <w:rPr>
          <w:color w:val="auto"/>
        </w:rPr>
        <w:t>niversity procedures above have been exhausted, a student may submit a complaint to the OIA if they are dissatisfied with the outcome of their appeal.</w:t>
      </w:r>
    </w:p>
    <w:p w14:paraId="7F26ACFE" w14:textId="77777777" w:rsidR="004D23D7" w:rsidRPr="00F5621E" w:rsidRDefault="004D23D7" w:rsidP="000271AA">
      <w:pPr>
        <w:pStyle w:val="Heading2"/>
        <w:rPr>
          <w:color w:val="auto"/>
        </w:rPr>
      </w:pPr>
      <w:r w:rsidRPr="00F5621E">
        <w:rPr>
          <w:color w:val="auto"/>
        </w:rPr>
        <w:t xml:space="preserve">Any such complaint must be submitted by sending an OIA complaint form together with all relevant information to the OIA within </w:t>
      </w:r>
      <w:r w:rsidRPr="00F5621E">
        <w:rPr>
          <w:b/>
          <w:bCs/>
          <w:color w:val="auto"/>
        </w:rPr>
        <w:t>twelve months</w:t>
      </w:r>
      <w:r w:rsidRPr="00F5621E">
        <w:rPr>
          <w:color w:val="auto"/>
        </w:rPr>
        <w:t xml:space="preserve"> of the date on the ‘Completion of Procedures Letter’ from the University, which is sent on completion of its internal procedures.</w:t>
      </w:r>
    </w:p>
    <w:p w14:paraId="09C7983E" w14:textId="77777777" w:rsidR="004D23D7" w:rsidRPr="00F5621E" w:rsidRDefault="004D23D7" w:rsidP="000271AA">
      <w:pPr>
        <w:pStyle w:val="Heading2"/>
        <w:rPr>
          <w:color w:val="auto"/>
        </w:rPr>
      </w:pPr>
      <w:r w:rsidRPr="00F5621E">
        <w:rPr>
          <w:color w:val="auto"/>
        </w:rPr>
        <w:t>Details of how to submit a complaint and contact details are available on the OIA website: www.oiahe.org.uk</w:t>
      </w:r>
    </w:p>
    <w:p w14:paraId="19860BE7" w14:textId="77777777" w:rsidR="001E7CF2" w:rsidRPr="00F5621E" w:rsidRDefault="001E7CF2" w:rsidP="00630FBE">
      <w:pPr>
        <w:pStyle w:val="Heading2"/>
        <w:numPr>
          <w:ilvl w:val="0"/>
          <w:numId w:val="0"/>
        </w:numPr>
        <w:rPr>
          <w:color w:val="auto"/>
        </w:rPr>
      </w:pPr>
    </w:p>
    <w:p w14:paraId="6763C738" w14:textId="1B5DE7A9" w:rsidR="00023AAD" w:rsidRDefault="00023AAD" w:rsidP="00F20D28">
      <w:pPr>
        <w:pStyle w:val="Heading3"/>
        <w:numPr>
          <w:ilvl w:val="0"/>
          <w:numId w:val="0"/>
        </w:numPr>
        <w:spacing w:before="0"/>
      </w:pPr>
    </w:p>
    <w:p w14:paraId="538D1682" w14:textId="7D8955F9" w:rsidR="006377CE" w:rsidRPr="008627B3" w:rsidRDefault="00AE3A65" w:rsidP="1E9F873C">
      <w:pPr>
        <w:pStyle w:val="Heading1"/>
        <w:spacing w:before="0"/>
      </w:pPr>
      <w:bookmarkStart w:id="20" w:name="_Toc168317356"/>
      <w:r>
        <w:t>Related Policies and Procedures</w:t>
      </w:r>
      <w:bookmarkEnd w:id="20"/>
    </w:p>
    <w:p w14:paraId="59864A49" w14:textId="54E70DEB" w:rsidR="006377CE" w:rsidRPr="00A435D6" w:rsidRDefault="00F74F00" w:rsidP="00A47EBF">
      <w:pPr>
        <w:pStyle w:val="Heading2"/>
        <w:numPr>
          <w:ilvl w:val="1"/>
          <w:numId w:val="12"/>
        </w:numPr>
      </w:pPr>
      <w:hyperlink r:id="rId21" w:history="1">
        <w:r w:rsidR="00A435D6" w:rsidRPr="00AE1F8A">
          <w:rPr>
            <w:rStyle w:val="Hyperlink"/>
          </w:rPr>
          <w:t>Appeals procedures</w:t>
        </w:r>
      </w:hyperlink>
    </w:p>
    <w:p w14:paraId="4DE2D3EC" w14:textId="4C695140" w:rsidR="00A435D6" w:rsidRDefault="00F74F00" w:rsidP="00A47EBF">
      <w:pPr>
        <w:pStyle w:val="Heading2"/>
        <w:numPr>
          <w:ilvl w:val="1"/>
          <w:numId w:val="12"/>
        </w:numPr>
      </w:pPr>
      <w:hyperlink r:id="rId22" w:history="1">
        <w:r w:rsidR="00A435D6" w:rsidRPr="00690A02">
          <w:rPr>
            <w:rStyle w:val="Hyperlink"/>
          </w:rPr>
          <w:t xml:space="preserve">Postgraduate Research </w:t>
        </w:r>
        <w:r w:rsidR="00690A02">
          <w:rPr>
            <w:rStyle w:val="Hyperlink"/>
          </w:rPr>
          <w:t xml:space="preserve">Degree </w:t>
        </w:r>
        <w:r w:rsidR="00A435D6" w:rsidRPr="00690A02">
          <w:rPr>
            <w:rStyle w:val="Hyperlink"/>
          </w:rPr>
          <w:t>regulations</w:t>
        </w:r>
      </w:hyperlink>
    </w:p>
    <w:p w14:paraId="22145DFB" w14:textId="77777777" w:rsidR="00A435D6" w:rsidRPr="00A435D6" w:rsidRDefault="00A435D6" w:rsidP="00A435D6">
      <w:pPr>
        <w:pStyle w:val="Heading2"/>
        <w:numPr>
          <w:ilvl w:val="0"/>
          <w:numId w:val="0"/>
        </w:numPr>
        <w:ind w:left="718"/>
      </w:pPr>
    </w:p>
    <w:p w14:paraId="14EE3C81" w14:textId="39BA1453" w:rsidR="004F3D8E" w:rsidRDefault="00ED19D8" w:rsidP="004F3D8E">
      <w:pPr>
        <w:pStyle w:val="Heading1"/>
      </w:pPr>
      <w:bookmarkStart w:id="21" w:name="_Toc168317357"/>
      <w:r>
        <w:t>Review</w:t>
      </w:r>
      <w:r w:rsidR="00DE4000">
        <w:t xml:space="preserve"> and </w:t>
      </w:r>
      <w:r>
        <w:t>Approva</w:t>
      </w:r>
      <w:r w:rsidR="00DE4000">
        <w:t>l</w:t>
      </w:r>
      <w:bookmarkEnd w:id="21"/>
    </w:p>
    <w:p w14:paraId="5E667493" w14:textId="02A22DD9" w:rsidR="00ED6897" w:rsidRPr="00F5621E" w:rsidRDefault="002E6216" w:rsidP="00911A56">
      <w:pPr>
        <w:pStyle w:val="Heading2"/>
        <w:rPr>
          <w:color w:val="auto"/>
        </w:rPr>
      </w:pPr>
      <w:r w:rsidRPr="00F5621E">
        <w:rPr>
          <w:color w:val="auto"/>
        </w:rPr>
        <w:t xml:space="preserve">This procedure </w:t>
      </w:r>
      <w:r w:rsidR="0027632E" w:rsidRPr="00F5621E">
        <w:rPr>
          <w:color w:val="auto"/>
        </w:rPr>
        <w:t xml:space="preserve">will be reviewed every three years, in line with institutional guidance. Updates may be made </w:t>
      </w:r>
      <w:r w:rsidR="00911A56" w:rsidRPr="00F5621E">
        <w:rPr>
          <w:color w:val="auto"/>
        </w:rPr>
        <w:t xml:space="preserve">more frequently, if required. </w:t>
      </w:r>
    </w:p>
    <w:p w14:paraId="058DE4A3" w14:textId="73050906" w:rsidR="00D52B06" w:rsidRPr="00F5621E" w:rsidRDefault="00AC6915" w:rsidP="00911A56">
      <w:pPr>
        <w:pStyle w:val="Heading2"/>
        <w:rPr>
          <w:color w:val="auto"/>
        </w:rPr>
      </w:pPr>
      <w:r w:rsidRPr="00F5621E">
        <w:rPr>
          <w:color w:val="auto"/>
        </w:rPr>
        <w:t xml:space="preserve">Updates will be </w:t>
      </w:r>
      <w:r w:rsidR="00300CA8" w:rsidRPr="00F5621E">
        <w:rPr>
          <w:color w:val="auto"/>
        </w:rPr>
        <w:t>brought by Registry Services to</w:t>
      </w:r>
      <w:r w:rsidR="002E6216" w:rsidRPr="00F5621E">
        <w:rPr>
          <w:color w:val="auto"/>
        </w:rPr>
        <w:t xml:space="preserve"> Academic Quality and Standards Committee</w:t>
      </w:r>
      <w:r w:rsidR="0027632E" w:rsidRPr="00F5621E">
        <w:rPr>
          <w:color w:val="auto"/>
        </w:rPr>
        <w:t xml:space="preserve"> </w:t>
      </w:r>
      <w:r w:rsidR="008627B3" w:rsidRPr="00F5621E">
        <w:rPr>
          <w:color w:val="auto"/>
        </w:rPr>
        <w:t>for approval.</w:t>
      </w:r>
    </w:p>
    <w:sectPr w:rsidR="00D52B06" w:rsidRPr="00F5621E" w:rsidSect="00F20D28">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1247E" w14:textId="77777777" w:rsidR="00BF2BB6" w:rsidRDefault="00BF2BB6" w:rsidP="003B0CD4">
      <w:pPr>
        <w:spacing w:after="0" w:line="240" w:lineRule="auto"/>
      </w:pPr>
      <w:r>
        <w:separator/>
      </w:r>
    </w:p>
  </w:endnote>
  <w:endnote w:type="continuationSeparator" w:id="0">
    <w:p w14:paraId="146BC8EC" w14:textId="77777777" w:rsidR="00BF2BB6" w:rsidRDefault="00BF2BB6" w:rsidP="003B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Altis Book">
    <w:altName w:val="Corbel"/>
    <w:panose1 w:val="00000000000000000000"/>
    <w:charset w:val="00"/>
    <w:family w:val="swiss"/>
    <w:notTrueType/>
    <w:pitch w:val="variable"/>
    <w:sig w:usb0="A00000BF" w:usb1="4000647B" w:usb2="00000000" w:usb3="00000000" w:csb0="00000093" w:csb1="00000000"/>
  </w:font>
  <w:font w:name="Altis">
    <w:altName w:val="Trebuchet MS"/>
    <w:panose1 w:val="00000000000000000000"/>
    <w:charset w:val="00"/>
    <w:family w:val="swiss"/>
    <w:notTrueType/>
    <w:pitch w:val="variable"/>
    <w:sig w:usb0="A00000BF" w:usb1="400064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1C6B0" w14:textId="77777777" w:rsidR="00585A55" w:rsidRDefault="0058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F632E" w14:textId="77777777" w:rsidR="00B65212" w:rsidRDefault="00B65212">
    <w:pPr>
      <w:pStyle w:val="Footer"/>
      <w:jc w:val="center"/>
    </w:pPr>
  </w:p>
  <w:sdt>
    <w:sdtPr>
      <w:id w:val="-290134372"/>
      <w:docPartObj>
        <w:docPartGallery w:val="Page Numbers (Bottom of Page)"/>
        <w:docPartUnique/>
      </w:docPartObj>
    </w:sdtPr>
    <w:sdtEndPr>
      <w:rPr>
        <w:noProof/>
      </w:rPr>
    </w:sdtEndPr>
    <w:sdtContent>
      <w:p w14:paraId="39073ADB" w14:textId="605C1249" w:rsidR="003B0CD4" w:rsidRDefault="003B0CD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7B98B290" w14:textId="77777777" w:rsidR="003B0CD4" w:rsidRDefault="003B0C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ECB7" w14:textId="77777777" w:rsidR="00585A55" w:rsidRDefault="0058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2F6F7" w14:textId="77777777" w:rsidR="00BF2BB6" w:rsidRDefault="00BF2BB6" w:rsidP="003B0CD4">
      <w:pPr>
        <w:spacing w:after="0" w:line="240" w:lineRule="auto"/>
      </w:pPr>
      <w:r>
        <w:separator/>
      </w:r>
    </w:p>
  </w:footnote>
  <w:footnote w:type="continuationSeparator" w:id="0">
    <w:p w14:paraId="7E1DAC92" w14:textId="77777777" w:rsidR="00BF2BB6" w:rsidRDefault="00BF2BB6" w:rsidP="003B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89F" w14:textId="77777777" w:rsidR="00585A55" w:rsidRDefault="0058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FDD0B" w14:textId="2BC3B14F" w:rsidR="00585A55" w:rsidRDefault="00585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26D8A" w14:textId="77777777" w:rsidR="00585A55" w:rsidRDefault="0058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A1F7B"/>
    <w:multiLevelType w:val="hybridMultilevel"/>
    <w:tmpl w:val="CF382E76"/>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D708F2"/>
    <w:multiLevelType w:val="hybridMultilevel"/>
    <w:tmpl w:val="CE46D898"/>
    <w:lvl w:ilvl="0" w:tplc="40508AE2">
      <w:numFmt w:val="bullet"/>
      <w:lvlText w:val="-"/>
      <w:lvlJc w:val="left"/>
      <w:pPr>
        <w:ind w:left="1741" w:hanging="360"/>
      </w:pPr>
      <w:rPr>
        <w:rFonts w:ascii="Calibri" w:eastAsiaTheme="minorHAnsi" w:hAnsi="Calibri" w:hint="default"/>
      </w:rPr>
    </w:lvl>
    <w:lvl w:ilvl="1" w:tplc="08090003" w:tentative="1">
      <w:start w:val="1"/>
      <w:numFmt w:val="bullet"/>
      <w:lvlText w:val="o"/>
      <w:lvlJc w:val="left"/>
      <w:pPr>
        <w:ind w:left="2461" w:hanging="360"/>
      </w:pPr>
      <w:rPr>
        <w:rFonts w:ascii="Courier New" w:hAnsi="Courier New" w:cs="Courier New" w:hint="default"/>
      </w:rPr>
    </w:lvl>
    <w:lvl w:ilvl="2" w:tplc="08090005" w:tentative="1">
      <w:start w:val="1"/>
      <w:numFmt w:val="bullet"/>
      <w:lvlText w:val=""/>
      <w:lvlJc w:val="left"/>
      <w:pPr>
        <w:ind w:left="3181" w:hanging="360"/>
      </w:pPr>
      <w:rPr>
        <w:rFonts w:ascii="Wingdings" w:hAnsi="Wingdings" w:hint="default"/>
      </w:rPr>
    </w:lvl>
    <w:lvl w:ilvl="3" w:tplc="08090001" w:tentative="1">
      <w:start w:val="1"/>
      <w:numFmt w:val="bullet"/>
      <w:lvlText w:val=""/>
      <w:lvlJc w:val="left"/>
      <w:pPr>
        <w:ind w:left="3901" w:hanging="360"/>
      </w:pPr>
      <w:rPr>
        <w:rFonts w:ascii="Symbol" w:hAnsi="Symbol" w:hint="default"/>
      </w:rPr>
    </w:lvl>
    <w:lvl w:ilvl="4" w:tplc="08090003" w:tentative="1">
      <w:start w:val="1"/>
      <w:numFmt w:val="bullet"/>
      <w:lvlText w:val="o"/>
      <w:lvlJc w:val="left"/>
      <w:pPr>
        <w:ind w:left="4621" w:hanging="360"/>
      </w:pPr>
      <w:rPr>
        <w:rFonts w:ascii="Courier New" w:hAnsi="Courier New" w:cs="Courier New" w:hint="default"/>
      </w:rPr>
    </w:lvl>
    <w:lvl w:ilvl="5" w:tplc="08090005" w:tentative="1">
      <w:start w:val="1"/>
      <w:numFmt w:val="bullet"/>
      <w:lvlText w:val=""/>
      <w:lvlJc w:val="left"/>
      <w:pPr>
        <w:ind w:left="5341" w:hanging="360"/>
      </w:pPr>
      <w:rPr>
        <w:rFonts w:ascii="Wingdings" w:hAnsi="Wingdings" w:hint="default"/>
      </w:rPr>
    </w:lvl>
    <w:lvl w:ilvl="6" w:tplc="08090001" w:tentative="1">
      <w:start w:val="1"/>
      <w:numFmt w:val="bullet"/>
      <w:lvlText w:val=""/>
      <w:lvlJc w:val="left"/>
      <w:pPr>
        <w:ind w:left="6061" w:hanging="360"/>
      </w:pPr>
      <w:rPr>
        <w:rFonts w:ascii="Symbol" w:hAnsi="Symbol" w:hint="default"/>
      </w:rPr>
    </w:lvl>
    <w:lvl w:ilvl="7" w:tplc="08090003" w:tentative="1">
      <w:start w:val="1"/>
      <w:numFmt w:val="bullet"/>
      <w:lvlText w:val="o"/>
      <w:lvlJc w:val="left"/>
      <w:pPr>
        <w:ind w:left="6781" w:hanging="360"/>
      </w:pPr>
      <w:rPr>
        <w:rFonts w:ascii="Courier New" w:hAnsi="Courier New" w:cs="Courier New" w:hint="default"/>
      </w:rPr>
    </w:lvl>
    <w:lvl w:ilvl="8" w:tplc="08090005" w:tentative="1">
      <w:start w:val="1"/>
      <w:numFmt w:val="bullet"/>
      <w:lvlText w:val=""/>
      <w:lvlJc w:val="left"/>
      <w:pPr>
        <w:ind w:left="7501" w:hanging="360"/>
      </w:pPr>
      <w:rPr>
        <w:rFonts w:ascii="Wingdings" w:hAnsi="Wingdings" w:hint="default"/>
      </w:rPr>
    </w:lvl>
  </w:abstractNum>
  <w:abstractNum w:abstractNumId="2" w15:restartNumberingAfterBreak="0">
    <w:nsid w:val="1BEA1937"/>
    <w:multiLevelType w:val="hybridMultilevel"/>
    <w:tmpl w:val="1E1A4054"/>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3" w15:restartNumberingAfterBreak="0">
    <w:nsid w:val="1C326491"/>
    <w:multiLevelType w:val="hybridMultilevel"/>
    <w:tmpl w:val="A88A4B00"/>
    <w:lvl w:ilvl="0" w:tplc="0809001B">
      <w:start w:val="1"/>
      <w:numFmt w:val="lowerRoman"/>
      <w:lvlText w:val="%1."/>
      <w:lvlJc w:val="right"/>
      <w:pPr>
        <w:ind w:left="1438" w:hanging="360"/>
      </w:pPr>
    </w:lvl>
    <w:lvl w:ilvl="1" w:tplc="08090019" w:tentative="1">
      <w:start w:val="1"/>
      <w:numFmt w:val="lowerLetter"/>
      <w:lvlText w:val="%2."/>
      <w:lvlJc w:val="left"/>
      <w:pPr>
        <w:ind w:left="2158" w:hanging="360"/>
      </w:pPr>
    </w:lvl>
    <w:lvl w:ilvl="2" w:tplc="0809001B" w:tentative="1">
      <w:start w:val="1"/>
      <w:numFmt w:val="lowerRoman"/>
      <w:lvlText w:val="%3."/>
      <w:lvlJc w:val="right"/>
      <w:pPr>
        <w:ind w:left="2878" w:hanging="180"/>
      </w:pPr>
    </w:lvl>
    <w:lvl w:ilvl="3" w:tplc="0809000F" w:tentative="1">
      <w:start w:val="1"/>
      <w:numFmt w:val="decimal"/>
      <w:lvlText w:val="%4."/>
      <w:lvlJc w:val="left"/>
      <w:pPr>
        <w:ind w:left="3598" w:hanging="360"/>
      </w:pPr>
    </w:lvl>
    <w:lvl w:ilvl="4" w:tplc="08090019" w:tentative="1">
      <w:start w:val="1"/>
      <w:numFmt w:val="lowerLetter"/>
      <w:lvlText w:val="%5."/>
      <w:lvlJc w:val="left"/>
      <w:pPr>
        <w:ind w:left="4318" w:hanging="360"/>
      </w:pPr>
    </w:lvl>
    <w:lvl w:ilvl="5" w:tplc="0809001B" w:tentative="1">
      <w:start w:val="1"/>
      <w:numFmt w:val="lowerRoman"/>
      <w:lvlText w:val="%6."/>
      <w:lvlJc w:val="right"/>
      <w:pPr>
        <w:ind w:left="5038" w:hanging="180"/>
      </w:pPr>
    </w:lvl>
    <w:lvl w:ilvl="6" w:tplc="0809000F" w:tentative="1">
      <w:start w:val="1"/>
      <w:numFmt w:val="decimal"/>
      <w:lvlText w:val="%7."/>
      <w:lvlJc w:val="left"/>
      <w:pPr>
        <w:ind w:left="5758" w:hanging="360"/>
      </w:pPr>
    </w:lvl>
    <w:lvl w:ilvl="7" w:tplc="08090019" w:tentative="1">
      <w:start w:val="1"/>
      <w:numFmt w:val="lowerLetter"/>
      <w:lvlText w:val="%8."/>
      <w:lvlJc w:val="left"/>
      <w:pPr>
        <w:ind w:left="6478" w:hanging="360"/>
      </w:pPr>
    </w:lvl>
    <w:lvl w:ilvl="8" w:tplc="0809001B" w:tentative="1">
      <w:start w:val="1"/>
      <w:numFmt w:val="lowerRoman"/>
      <w:lvlText w:val="%9."/>
      <w:lvlJc w:val="right"/>
      <w:pPr>
        <w:ind w:left="7198" w:hanging="180"/>
      </w:pPr>
    </w:lvl>
  </w:abstractNum>
  <w:abstractNum w:abstractNumId="4" w15:restartNumberingAfterBreak="0">
    <w:nsid w:val="210576FF"/>
    <w:multiLevelType w:val="multilevel"/>
    <w:tmpl w:val="B2781826"/>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720" w:hanging="360"/>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2F67014"/>
    <w:multiLevelType w:val="hybridMultilevel"/>
    <w:tmpl w:val="DCF08CA8"/>
    <w:lvl w:ilvl="0" w:tplc="8F589BD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BC2EA2"/>
    <w:multiLevelType w:val="hybridMultilevel"/>
    <w:tmpl w:val="7286E0DC"/>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B4213D"/>
    <w:multiLevelType w:val="hybridMultilevel"/>
    <w:tmpl w:val="C49C38C6"/>
    <w:lvl w:ilvl="0" w:tplc="A3CEC3FA">
      <w:numFmt w:val="bullet"/>
      <w:suff w:val="space"/>
      <w:lvlText w:val="-"/>
      <w:lvlJc w:val="left"/>
      <w:pPr>
        <w:ind w:left="454" w:firstLine="567"/>
      </w:pPr>
      <w:rPr>
        <w:rFonts w:ascii="Calibri" w:eastAsiaTheme="minorHAns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823604"/>
    <w:multiLevelType w:val="hybridMultilevel"/>
    <w:tmpl w:val="5B3CA05A"/>
    <w:lvl w:ilvl="0" w:tplc="34922C68">
      <w:start w:val="1"/>
      <w:numFmt w:val="lowerRoman"/>
      <w:suff w:val="space"/>
      <w:lvlText w:val="%1."/>
      <w:lvlJc w:val="right"/>
      <w:pPr>
        <w:ind w:left="454" w:firstLine="567"/>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8F530E"/>
    <w:multiLevelType w:val="hybridMultilevel"/>
    <w:tmpl w:val="E5D6CF4C"/>
    <w:lvl w:ilvl="0" w:tplc="137A7178">
      <w:start w:val="1"/>
      <w:numFmt w:val="lowerRoman"/>
      <w:lvlText w:val="%1."/>
      <w:lvlJc w:val="right"/>
      <w:pPr>
        <w:ind w:left="720" w:hanging="360"/>
      </w:pPr>
      <w:rPr>
        <w:i w:val="0"/>
        <w:i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41FEE"/>
    <w:multiLevelType w:val="multilevel"/>
    <w:tmpl w:val="DDA247CC"/>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718" w:hanging="576"/>
      </w:pPr>
      <w:rPr>
        <w:b w:val="0"/>
        <w:bCs w:val="0"/>
        <w:sz w:val="24"/>
        <w:szCs w:val="24"/>
      </w:rPr>
    </w:lvl>
    <w:lvl w:ilvl="2">
      <w:start w:val="1"/>
      <w:numFmt w:val="decimal"/>
      <w:pStyle w:val="Heading3"/>
      <w:lvlText w:val="%1.%2.%3"/>
      <w:lvlJc w:val="left"/>
      <w:pPr>
        <w:ind w:left="720" w:hanging="720"/>
      </w:pPr>
      <w:rPr>
        <w:b w:val="0"/>
        <w:b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9BD0A2E"/>
    <w:multiLevelType w:val="multilevel"/>
    <w:tmpl w:val="5B6CB85A"/>
    <w:lvl w:ilvl="0">
      <w:start w:val="1"/>
      <w:numFmt w:val="decimal"/>
      <w:lvlText w:val="%1"/>
      <w:lvlJc w:val="left"/>
      <w:pPr>
        <w:ind w:left="432" w:hanging="432"/>
      </w:pPr>
      <w:rPr>
        <w:rFonts w:asciiTheme="majorHAnsi" w:eastAsiaTheme="majorEastAsia" w:hAnsiTheme="majorHAnsi" w:cstheme="majorBidi"/>
      </w:rPr>
    </w:lvl>
    <w:lvl w:ilvl="1">
      <w:numFmt w:val="bullet"/>
      <w:lvlText w:val="-"/>
      <w:lvlJc w:val="left"/>
      <w:pPr>
        <w:ind w:left="502" w:hanging="360"/>
      </w:pPr>
      <w:rPr>
        <w:rFonts w:ascii="Calibri" w:eastAsiaTheme="minorHAnsi" w:hAnsi="Calibri" w:cs="Calibri"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A0C001D"/>
    <w:multiLevelType w:val="hybridMultilevel"/>
    <w:tmpl w:val="EE90A116"/>
    <w:lvl w:ilvl="0" w:tplc="FFFFFFFF">
      <w:start w:val="1"/>
      <w:numFmt w:val="decimal"/>
      <w:lvlText w:val="%1."/>
      <w:lvlJc w:val="left"/>
      <w:pPr>
        <w:ind w:left="808" w:hanging="709"/>
      </w:pPr>
      <w:rPr>
        <w:rFonts w:ascii="Arial" w:eastAsia="Arial" w:hAnsi="Arial" w:cs="Arial" w:hint="default"/>
        <w:w w:val="98"/>
        <w:sz w:val="24"/>
        <w:szCs w:val="24"/>
      </w:rPr>
    </w:lvl>
    <w:lvl w:ilvl="1" w:tplc="18A26FC0">
      <w:start w:val="1"/>
      <w:numFmt w:val="lowerRoman"/>
      <w:lvlText w:val="%2."/>
      <w:lvlJc w:val="right"/>
      <w:pPr>
        <w:ind w:left="1134" w:hanging="454"/>
      </w:pPr>
      <w:rPr>
        <w:rFonts w:hint="default"/>
      </w:rPr>
    </w:lvl>
    <w:lvl w:ilvl="2" w:tplc="FFFFFFFF">
      <w:numFmt w:val="bullet"/>
      <w:lvlText w:val="•"/>
      <w:lvlJc w:val="left"/>
      <w:pPr>
        <w:ind w:left="1540" w:hanging="732"/>
      </w:pPr>
      <w:rPr>
        <w:rFonts w:hint="default"/>
      </w:rPr>
    </w:lvl>
    <w:lvl w:ilvl="3" w:tplc="FFFFFFFF">
      <w:numFmt w:val="bullet"/>
      <w:lvlText w:val="•"/>
      <w:lvlJc w:val="left"/>
      <w:pPr>
        <w:ind w:left="2503" w:hanging="732"/>
      </w:pPr>
      <w:rPr>
        <w:rFonts w:hint="default"/>
      </w:rPr>
    </w:lvl>
    <w:lvl w:ilvl="4" w:tplc="FFFFFFFF">
      <w:numFmt w:val="bullet"/>
      <w:lvlText w:val="•"/>
      <w:lvlJc w:val="left"/>
      <w:pPr>
        <w:ind w:left="3467" w:hanging="732"/>
      </w:pPr>
      <w:rPr>
        <w:rFonts w:hint="default"/>
      </w:rPr>
    </w:lvl>
    <w:lvl w:ilvl="5" w:tplc="FFFFFFFF">
      <w:numFmt w:val="bullet"/>
      <w:lvlText w:val="•"/>
      <w:lvlJc w:val="left"/>
      <w:pPr>
        <w:ind w:left="4431" w:hanging="732"/>
      </w:pPr>
      <w:rPr>
        <w:rFonts w:hint="default"/>
      </w:rPr>
    </w:lvl>
    <w:lvl w:ilvl="6" w:tplc="FFFFFFFF">
      <w:numFmt w:val="bullet"/>
      <w:lvlText w:val="•"/>
      <w:lvlJc w:val="left"/>
      <w:pPr>
        <w:ind w:left="5395" w:hanging="732"/>
      </w:pPr>
      <w:rPr>
        <w:rFonts w:hint="default"/>
      </w:rPr>
    </w:lvl>
    <w:lvl w:ilvl="7" w:tplc="FFFFFFFF">
      <w:numFmt w:val="bullet"/>
      <w:lvlText w:val="•"/>
      <w:lvlJc w:val="left"/>
      <w:pPr>
        <w:ind w:left="6358" w:hanging="732"/>
      </w:pPr>
      <w:rPr>
        <w:rFonts w:hint="default"/>
      </w:rPr>
    </w:lvl>
    <w:lvl w:ilvl="8" w:tplc="FFFFFFFF">
      <w:numFmt w:val="bullet"/>
      <w:lvlText w:val="•"/>
      <w:lvlJc w:val="left"/>
      <w:pPr>
        <w:ind w:left="7322" w:hanging="732"/>
      </w:pPr>
      <w:rPr>
        <w:rFonts w:hint="default"/>
      </w:rPr>
    </w:lvl>
  </w:abstractNum>
  <w:abstractNum w:abstractNumId="14" w15:restartNumberingAfterBreak="0">
    <w:nsid w:val="7AD509BB"/>
    <w:multiLevelType w:val="hybridMultilevel"/>
    <w:tmpl w:val="FD4E662C"/>
    <w:lvl w:ilvl="0" w:tplc="26D87356">
      <w:numFmt w:val="bullet"/>
      <w:lvlText w:val="-"/>
      <w:lvlJc w:val="left"/>
      <w:pPr>
        <w:ind w:left="340" w:hanging="227"/>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9089314">
    <w:abstractNumId w:val="11"/>
  </w:num>
  <w:num w:numId="2" w16cid:durableId="370810139">
    <w:abstractNumId w:val="7"/>
  </w:num>
  <w:num w:numId="3" w16cid:durableId="987855791">
    <w:abstractNumId w:val="8"/>
  </w:num>
  <w:num w:numId="4" w16cid:durableId="1794135737">
    <w:abstractNumId w:val="9"/>
  </w:num>
  <w:num w:numId="5" w16cid:durableId="207574160">
    <w:abstractNumId w:val="10"/>
  </w:num>
  <w:num w:numId="6" w16cid:durableId="1954825906">
    <w:abstractNumId w:val="0"/>
  </w:num>
  <w:num w:numId="7" w16cid:durableId="1276712748">
    <w:abstractNumId w:val="6"/>
  </w:num>
  <w:num w:numId="8" w16cid:durableId="389310239">
    <w:abstractNumId w:val="13"/>
  </w:num>
  <w:num w:numId="9" w16cid:durableId="1858423084">
    <w:abstractNumId w:val="4"/>
  </w:num>
  <w:num w:numId="10" w16cid:durableId="1614482789">
    <w:abstractNumId w:val="3"/>
  </w:num>
  <w:num w:numId="11" w16cid:durableId="822237657">
    <w:abstractNumId w:val="2"/>
  </w:num>
  <w:num w:numId="12" w16cid:durableId="1167091833">
    <w:abstractNumId w:val="12"/>
  </w:num>
  <w:num w:numId="13" w16cid:durableId="691419844">
    <w:abstractNumId w:val="5"/>
  </w:num>
  <w:num w:numId="14" w16cid:durableId="589508937">
    <w:abstractNumId w:val="14"/>
  </w:num>
  <w:num w:numId="15" w16cid:durableId="152590458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163E"/>
    <w:rsid w:val="00015CC3"/>
    <w:rsid w:val="00023AAD"/>
    <w:rsid w:val="00023DAB"/>
    <w:rsid w:val="000271AA"/>
    <w:rsid w:val="00034C64"/>
    <w:rsid w:val="000423C2"/>
    <w:rsid w:val="00067966"/>
    <w:rsid w:val="00081AF9"/>
    <w:rsid w:val="00082139"/>
    <w:rsid w:val="00084894"/>
    <w:rsid w:val="00093137"/>
    <w:rsid w:val="0009535B"/>
    <w:rsid w:val="0009597B"/>
    <w:rsid w:val="00096435"/>
    <w:rsid w:val="000A15D8"/>
    <w:rsid w:val="000C3C2F"/>
    <w:rsid w:val="000D0B2C"/>
    <w:rsid w:val="000D23F4"/>
    <w:rsid w:val="000D3EF5"/>
    <w:rsid w:val="000F0838"/>
    <w:rsid w:val="000F13D6"/>
    <w:rsid w:val="000F3FF4"/>
    <w:rsid w:val="000F733A"/>
    <w:rsid w:val="0012564B"/>
    <w:rsid w:val="00130BA3"/>
    <w:rsid w:val="0013304E"/>
    <w:rsid w:val="0013496B"/>
    <w:rsid w:val="0013607D"/>
    <w:rsid w:val="001367FE"/>
    <w:rsid w:val="001420C5"/>
    <w:rsid w:val="00143840"/>
    <w:rsid w:val="0015225C"/>
    <w:rsid w:val="00152B82"/>
    <w:rsid w:val="00161EDB"/>
    <w:rsid w:val="00176A6B"/>
    <w:rsid w:val="00182167"/>
    <w:rsid w:val="00196A96"/>
    <w:rsid w:val="001A52A7"/>
    <w:rsid w:val="001A7EFE"/>
    <w:rsid w:val="001A7F68"/>
    <w:rsid w:val="001B008D"/>
    <w:rsid w:val="001B6874"/>
    <w:rsid w:val="001C0E14"/>
    <w:rsid w:val="001D3D41"/>
    <w:rsid w:val="001D589B"/>
    <w:rsid w:val="001D610B"/>
    <w:rsid w:val="001E0EA2"/>
    <w:rsid w:val="001E196D"/>
    <w:rsid w:val="001E54DD"/>
    <w:rsid w:val="001E7CF2"/>
    <w:rsid w:val="001F794F"/>
    <w:rsid w:val="0020532E"/>
    <w:rsid w:val="00206F3A"/>
    <w:rsid w:val="00215570"/>
    <w:rsid w:val="00260329"/>
    <w:rsid w:val="00261178"/>
    <w:rsid w:val="00263057"/>
    <w:rsid w:val="002669DB"/>
    <w:rsid w:val="0027632E"/>
    <w:rsid w:val="00276D78"/>
    <w:rsid w:val="00290230"/>
    <w:rsid w:val="002A15AC"/>
    <w:rsid w:val="002D2792"/>
    <w:rsid w:val="002E6216"/>
    <w:rsid w:val="002F026B"/>
    <w:rsid w:val="002F3B5B"/>
    <w:rsid w:val="00300CA8"/>
    <w:rsid w:val="00310A76"/>
    <w:rsid w:val="003205F6"/>
    <w:rsid w:val="0032264E"/>
    <w:rsid w:val="00324E0B"/>
    <w:rsid w:val="00335BBA"/>
    <w:rsid w:val="003510F0"/>
    <w:rsid w:val="00351D20"/>
    <w:rsid w:val="003526E4"/>
    <w:rsid w:val="003540AD"/>
    <w:rsid w:val="00356F54"/>
    <w:rsid w:val="00366908"/>
    <w:rsid w:val="00367FE6"/>
    <w:rsid w:val="00376449"/>
    <w:rsid w:val="003928BE"/>
    <w:rsid w:val="003A7850"/>
    <w:rsid w:val="003B0CD4"/>
    <w:rsid w:val="003C2126"/>
    <w:rsid w:val="003C3109"/>
    <w:rsid w:val="003C5138"/>
    <w:rsid w:val="003C7CFB"/>
    <w:rsid w:val="003E6D68"/>
    <w:rsid w:val="004003B1"/>
    <w:rsid w:val="00402622"/>
    <w:rsid w:val="00406B6E"/>
    <w:rsid w:val="00416451"/>
    <w:rsid w:val="00424E11"/>
    <w:rsid w:val="00443022"/>
    <w:rsid w:val="00452BCB"/>
    <w:rsid w:val="00454793"/>
    <w:rsid w:val="00457826"/>
    <w:rsid w:val="004618C7"/>
    <w:rsid w:val="004734A0"/>
    <w:rsid w:val="0048441C"/>
    <w:rsid w:val="00486D24"/>
    <w:rsid w:val="004959E1"/>
    <w:rsid w:val="004A0911"/>
    <w:rsid w:val="004B20D0"/>
    <w:rsid w:val="004C4F55"/>
    <w:rsid w:val="004D04B0"/>
    <w:rsid w:val="004D23D7"/>
    <w:rsid w:val="004D3778"/>
    <w:rsid w:val="004D5F5D"/>
    <w:rsid w:val="004E6F06"/>
    <w:rsid w:val="004F3D8E"/>
    <w:rsid w:val="004F3E35"/>
    <w:rsid w:val="004F3F03"/>
    <w:rsid w:val="004F7557"/>
    <w:rsid w:val="004F75ED"/>
    <w:rsid w:val="005005F9"/>
    <w:rsid w:val="00501729"/>
    <w:rsid w:val="005035F0"/>
    <w:rsid w:val="0053070F"/>
    <w:rsid w:val="00530F92"/>
    <w:rsid w:val="00537AEA"/>
    <w:rsid w:val="00542772"/>
    <w:rsid w:val="0055051B"/>
    <w:rsid w:val="0056661F"/>
    <w:rsid w:val="005735C2"/>
    <w:rsid w:val="00585A55"/>
    <w:rsid w:val="00586EAD"/>
    <w:rsid w:val="00594A7A"/>
    <w:rsid w:val="005A5AD5"/>
    <w:rsid w:val="005B0F50"/>
    <w:rsid w:val="005C1286"/>
    <w:rsid w:val="005C6410"/>
    <w:rsid w:val="005D05B5"/>
    <w:rsid w:val="005D0B18"/>
    <w:rsid w:val="005D3DFB"/>
    <w:rsid w:val="005E3A69"/>
    <w:rsid w:val="005E58A7"/>
    <w:rsid w:val="005E6720"/>
    <w:rsid w:val="0060088D"/>
    <w:rsid w:val="00602F2A"/>
    <w:rsid w:val="00604186"/>
    <w:rsid w:val="00622305"/>
    <w:rsid w:val="00622DA5"/>
    <w:rsid w:val="006268C1"/>
    <w:rsid w:val="00630623"/>
    <w:rsid w:val="00630FBE"/>
    <w:rsid w:val="00634385"/>
    <w:rsid w:val="006377CE"/>
    <w:rsid w:val="00640807"/>
    <w:rsid w:val="00645C47"/>
    <w:rsid w:val="00660021"/>
    <w:rsid w:val="006649BD"/>
    <w:rsid w:val="00667552"/>
    <w:rsid w:val="0067060B"/>
    <w:rsid w:val="00675991"/>
    <w:rsid w:val="00676D60"/>
    <w:rsid w:val="00684ACE"/>
    <w:rsid w:val="00686B34"/>
    <w:rsid w:val="00690A02"/>
    <w:rsid w:val="00696725"/>
    <w:rsid w:val="00697DFA"/>
    <w:rsid w:val="006A0052"/>
    <w:rsid w:val="006A3F46"/>
    <w:rsid w:val="006A4FE6"/>
    <w:rsid w:val="006B010E"/>
    <w:rsid w:val="006B33D7"/>
    <w:rsid w:val="006C24AB"/>
    <w:rsid w:val="006D6498"/>
    <w:rsid w:val="006F4E14"/>
    <w:rsid w:val="00700188"/>
    <w:rsid w:val="00700C03"/>
    <w:rsid w:val="0070104F"/>
    <w:rsid w:val="0071039C"/>
    <w:rsid w:val="00710BC0"/>
    <w:rsid w:val="00714650"/>
    <w:rsid w:val="007150F4"/>
    <w:rsid w:val="00722FD5"/>
    <w:rsid w:val="0072722D"/>
    <w:rsid w:val="00734A37"/>
    <w:rsid w:val="00734D37"/>
    <w:rsid w:val="00742AC2"/>
    <w:rsid w:val="007478D5"/>
    <w:rsid w:val="0075022E"/>
    <w:rsid w:val="00755130"/>
    <w:rsid w:val="0077217C"/>
    <w:rsid w:val="00780D3C"/>
    <w:rsid w:val="00784975"/>
    <w:rsid w:val="007905E2"/>
    <w:rsid w:val="007A0E66"/>
    <w:rsid w:val="007A3157"/>
    <w:rsid w:val="007B44A0"/>
    <w:rsid w:val="007C4BA7"/>
    <w:rsid w:val="007D24C4"/>
    <w:rsid w:val="007D45FF"/>
    <w:rsid w:val="007E1365"/>
    <w:rsid w:val="007F1E80"/>
    <w:rsid w:val="007F447E"/>
    <w:rsid w:val="00803D56"/>
    <w:rsid w:val="00815487"/>
    <w:rsid w:val="00815A26"/>
    <w:rsid w:val="00817A76"/>
    <w:rsid w:val="00824DDD"/>
    <w:rsid w:val="00827CBA"/>
    <w:rsid w:val="008342EE"/>
    <w:rsid w:val="00844206"/>
    <w:rsid w:val="008467C2"/>
    <w:rsid w:val="00854E81"/>
    <w:rsid w:val="008569CD"/>
    <w:rsid w:val="008610A1"/>
    <w:rsid w:val="008627B3"/>
    <w:rsid w:val="00862D95"/>
    <w:rsid w:val="00865ECA"/>
    <w:rsid w:val="00866360"/>
    <w:rsid w:val="00871972"/>
    <w:rsid w:val="008741DB"/>
    <w:rsid w:val="008765DC"/>
    <w:rsid w:val="00876D2E"/>
    <w:rsid w:val="0088599E"/>
    <w:rsid w:val="0089020F"/>
    <w:rsid w:val="008C551C"/>
    <w:rsid w:val="008D23D2"/>
    <w:rsid w:val="00900B77"/>
    <w:rsid w:val="00905E84"/>
    <w:rsid w:val="00911A56"/>
    <w:rsid w:val="0093274E"/>
    <w:rsid w:val="009359B4"/>
    <w:rsid w:val="00945CC4"/>
    <w:rsid w:val="00952ED2"/>
    <w:rsid w:val="00963610"/>
    <w:rsid w:val="00971EA6"/>
    <w:rsid w:val="00973B36"/>
    <w:rsid w:val="00973C73"/>
    <w:rsid w:val="0098001E"/>
    <w:rsid w:val="009939CD"/>
    <w:rsid w:val="00993BF9"/>
    <w:rsid w:val="0099443A"/>
    <w:rsid w:val="009947BC"/>
    <w:rsid w:val="009A3418"/>
    <w:rsid w:val="009C2331"/>
    <w:rsid w:val="009C26A5"/>
    <w:rsid w:val="009C509D"/>
    <w:rsid w:val="009C7B96"/>
    <w:rsid w:val="009D2881"/>
    <w:rsid w:val="009D4EF7"/>
    <w:rsid w:val="00A05E79"/>
    <w:rsid w:val="00A10647"/>
    <w:rsid w:val="00A11DD3"/>
    <w:rsid w:val="00A17065"/>
    <w:rsid w:val="00A20BAD"/>
    <w:rsid w:val="00A42CE1"/>
    <w:rsid w:val="00A435D6"/>
    <w:rsid w:val="00A47EBF"/>
    <w:rsid w:val="00A640A2"/>
    <w:rsid w:val="00A670AF"/>
    <w:rsid w:val="00A74176"/>
    <w:rsid w:val="00A7691F"/>
    <w:rsid w:val="00A96CDA"/>
    <w:rsid w:val="00AA2E91"/>
    <w:rsid w:val="00AB39F6"/>
    <w:rsid w:val="00AC6915"/>
    <w:rsid w:val="00AD1CA8"/>
    <w:rsid w:val="00AE1F8A"/>
    <w:rsid w:val="00AE3499"/>
    <w:rsid w:val="00AE3A65"/>
    <w:rsid w:val="00AE57A7"/>
    <w:rsid w:val="00AE6149"/>
    <w:rsid w:val="00AE6583"/>
    <w:rsid w:val="00AE7CC3"/>
    <w:rsid w:val="00AF644B"/>
    <w:rsid w:val="00B0017A"/>
    <w:rsid w:val="00B04A83"/>
    <w:rsid w:val="00B05A36"/>
    <w:rsid w:val="00B0766D"/>
    <w:rsid w:val="00B12B04"/>
    <w:rsid w:val="00B1455D"/>
    <w:rsid w:val="00B30D65"/>
    <w:rsid w:val="00B36065"/>
    <w:rsid w:val="00B36605"/>
    <w:rsid w:val="00B411F7"/>
    <w:rsid w:val="00B52197"/>
    <w:rsid w:val="00B528ED"/>
    <w:rsid w:val="00B54D4D"/>
    <w:rsid w:val="00B6307B"/>
    <w:rsid w:val="00B65212"/>
    <w:rsid w:val="00B75892"/>
    <w:rsid w:val="00B807A5"/>
    <w:rsid w:val="00B82F2B"/>
    <w:rsid w:val="00B86E39"/>
    <w:rsid w:val="00BA0D8D"/>
    <w:rsid w:val="00BA6C69"/>
    <w:rsid w:val="00BB7259"/>
    <w:rsid w:val="00BB74FF"/>
    <w:rsid w:val="00BC77B0"/>
    <w:rsid w:val="00BD19E8"/>
    <w:rsid w:val="00BE571E"/>
    <w:rsid w:val="00BF2BB6"/>
    <w:rsid w:val="00C05B84"/>
    <w:rsid w:val="00C07802"/>
    <w:rsid w:val="00C07B20"/>
    <w:rsid w:val="00C24D8F"/>
    <w:rsid w:val="00C30F00"/>
    <w:rsid w:val="00C341BE"/>
    <w:rsid w:val="00C51755"/>
    <w:rsid w:val="00C65E03"/>
    <w:rsid w:val="00C91548"/>
    <w:rsid w:val="00CA031D"/>
    <w:rsid w:val="00CA1500"/>
    <w:rsid w:val="00CA5D91"/>
    <w:rsid w:val="00CA6EDB"/>
    <w:rsid w:val="00CB137C"/>
    <w:rsid w:val="00CB1F64"/>
    <w:rsid w:val="00CB5D44"/>
    <w:rsid w:val="00CC339C"/>
    <w:rsid w:val="00CD441C"/>
    <w:rsid w:val="00CD582A"/>
    <w:rsid w:val="00CE47D3"/>
    <w:rsid w:val="00CE608D"/>
    <w:rsid w:val="00D130E4"/>
    <w:rsid w:val="00D20880"/>
    <w:rsid w:val="00D37FC6"/>
    <w:rsid w:val="00D46E50"/>
    <w:rsid w:val="00D526EF"/>
    <w:rsid w:val="00D52B06"/>
    <w:rsid w:val="00D5591B"/>
    <w:rsid w:val="00D85B40"/>
    <w:rsid w:val="00D9301C"/>
    <w:rsid w:val="00D967B9"/>
    <w:rsid w:val="00D973DB"/>
    <w:rsid w:val="00DA05EE"/>
    <w:rsid w:val="00DA62B9"/>
    <w:rsid w:val="00DB176A"/>
    <w:rsid w:val="00DD0C4D"/>
    <w:rsid w:val="00DE4000"/>
    <w:rsid w:val="00DF4655"/>
    <w:rsid w:val="00E212A3"/>
    <w:rsid w:val="00E23FC9"/>
    <w:rsid w:val="00E31881"/>
    <w:rsid w:val="00E374E4"/>
    <w:rsid w:val="00E51EC1"/>
    <w:rsid w:val="00E53462"/>
    <w:rsid w:val="00E62C64"/>
    <w:rsid w:val="00E734C7"/>
    <w:rsid w:val="00E84FDC"/>
    <w:rsid w:val="00E97C69"/>
    <w:rsid w:val="00EA69F4"/>
    <w:rsid w:val="00EB06AD"/>
    <w:rsid w:val="00EB10DE"/>
    <w:rsid w:val="00EB386F"/>
    <w:rsid w:val="00EB6057"/>
    <w:rsid w:val="00EC1846"/>
    <w:rsid w:val="00EC2C8F"/>
    <w:rsid w:val="00ED02EC"/>
    <w:rsid w:val="00ED1374"/>
    <w:rsid w:val="00ED184E"/>
    <w:rsid w:val="00ED1996"/>
    <w:rsid w:val="00ED19D8"/>
    <w:rsid w:val="00ED6897"/>
    <w:rsid w:val="00EE23DF"/>
    <w:rsid w:val="00EF69B5"/>
    <w:rsid w:val="00F07112"/>
    <w:rsid w:val="00F20D28"/>
    <w:rsid w:val="00F21188"/>
    <w:rsid w:val="00F23A04"/>
    <w:rsid w:val="00F2588C"/>
    <w:rsid w:val="00F30E16"/>
    <w:rsid w:val="00F314A6"/>
    <w:rsid w:val="00F31A84"/>
    <w:rsid w:val="00F37852"/>
    <w:rsid w:val="00F5621E"/>
    <w:rsid w:val="00F74ABA"/>
    <w:rsid w:val="00F74F00"/>
    <w:rsid w:val="00F77E1A"/>
    <w:rsid w:val="00F84635"/>
    <w:rsid w:val="00FA16AD"/>
    <w:rsid w:val="00FA30DC"/>
    <w:rsid w:val="00FB6CB7"/>
    <w:rsid w:val="00FC6E7A"/>
    <w:rsid w:val="00FE27A2"/>
    <w:rsid w:val="00FE2C3C"/>
    <w:rsid w:val="00FE2CC1"/>
    <w:rsid w:val="0407E696"/>
    <w:rsid w:val="0598C42B"/>
    <w:rsid w:val="12C13318"/>
    <w:rsid w:val="15E3BA18"/>
    <w:rsid w:val="15EC242F"/>
    <w:rsid w:val="1B368405"/>
    <w:rsid w:val="1CC4707F"/>
    <w:rsid w:val="1E9F873C"/>
    <w:rsid w:val="22A63218"/>
    <w:rsid w:val="24C46B05"/>
    <w:rsid w:val="2A779ACB"/>
    <w:rsid w:val="3098D575"/>
    <w:rsid w:val="32698453"/>
    <w:rsid w:val="373CF576"/>
    <w:rsid w:val="37983C21"/>
    <w:rsid w:val="37D0B373"/>
    <w:rsid w:val="3A5F3A61"/>
    <w:rsid w:val="3E870844"/>
    <w:rsid w:val="3F0B6208"/>
    <w:rsid w:val="415E2FE5"/>
    <w:rsid w:val="47C4C649"/>
    <w:rsid w:val="48907E7A"/>
    <w:rsid w:val="4AC6C74C"/>
    <w:rsid w:val="4C6297AD"/>
    <w:rsid w:val="5D7DEAED"/>
    <w:rsid w:val="5E802755"/>
    <w:rsid w:val="5EBB06AA"/>
    <w:rsid w:val="5F0213B0"/>
    <w:rsid w:val="679A5A31"/>
    <w:rsid w:val="6A18EFA6"/>
    <w:rsid w:val="6B71518D"/>
    <w:rsid w:val="6DF07358"/>
    <w:rsid w:val="73CF3B39"/>
    <w:rsid w:val="757C7942"/>
    <w:rsid w:val="77184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11B430"/>
  <w15:chartTrackingRefBased/>
  <w15:docId w15:val="{9433C909-CA00-4D24-85EA-779A7381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4FF"/>
    <w:rPr>
      <w:rFonts w:ascii="Arial" w:hAnsi="Arial"/>
      <w:color w:val="222A35" w:themeColor="text2" w:themeShade="80"/>
      <w:sz w:val="24"/>
    </w:rPr>
  </w:style>
  <w:style w:type="paragraph" w:styleId="Heading1">
    <w:name w:val="heading 1"/>
    <w:aliases w:val="Heading 1 (CMU Minutes)"/>
    <w:basedOn w:val="Normal"/>
    <w:next w:val="Heading2"/>
    <w:link w:val="Heading1Char"/>
    <w:uiPriority w:val="9"/>
    <w:qFormat/>
    <w:rsid w:val="001367FE"/>
    <w:pPr>
      <w:numPr>
        <w:numId w:val="1"/>
      </w:numPr>
      <w:spacing w:before="240" w:after="0"/>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A11DD3"/>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A05E79"/>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next w:val="Normal"/>
    <w:link w:val="Heading4Char"/>
    <w:uiPriority w:val="9"/>
    <w:unhideWhenUsed/>
    <w:qFormat/>
    <w:rsid w:val="00B82F2B"/>
    <w:pPr>
      <w:keepNext/>
      <w:keepLines/>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B82F2B"/>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B82F2B"/>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6D68"/>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3E6D68"/>
    <w:rPr>
      <w:rFonts w:ascii="Altis" w:eastAsiaTheme="majorEastAsia" w:hAnsi="Altis" w:cstheme="majorBidi"/>
      <w:color w:val="13335A"/>
      <w:spacing w:val="-10"/>
      <w:kern w:val="28"/>
      <w:sz w:val="48"/>
      <w:szCs w:val="56"/>
    </w:rPr>
  </w:style>
  <w:style w:type="character" w:customStyle="1" w:styleId="Heading1Char">
    <w:name w:val="Heading 1 Char"/>
    <w:aliases w:val="Heading 1 (CMU Minutes) Char"/>
    <w:basedOn w:val="DefaultParagraphFont"/>
    <w:link w:val="Heading1"/>
    <w:uiPriority w:val="9"/>
    <w:rsid w:val="001367FE"/>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A11DD3"/>
    <w:rPr>
      <w:rFonts w:ascii="Arial" w:eastAsiaTheme="majorEastAsia" w:hAnsi="Arial" w:cstheme="majorBidi"/>
      <w:color w:val="222A35" w:themeColor="text2" w:themeShade="80"/>
      <w:sz w:val="24"/>
      <w:szCs w:val="26"/>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A05E79"/>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B82F2B"/>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B82F2B"/>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B82F2B"/>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13496B"/>
    <w:pPr>
      <w:tabs>
        <w:tab w:val="right" w:leader="dot" w:pos="9016"/>
      </w:tabs>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A05E79"/>
    <w:rPr>
      <w:rFonts w:ascii="Arial" w:hAnsi="Arial"/>
      <w:i/>
      <w:iCs/>
      <w:color w:val="404040" w:themeColor="text1" w:themeTint="BF"/>
      <w:sz w:val="24"/>
    </w:rPr>
  </w:style>
  <w:style w:type="paragraph" w:customStyle="1" w:styleId="ActionPoints">
    <w:name w:val="Action Points"/>
    <w:basedOn w:val="Heading2"/>
    <w:qFormat/>
    <w:rsid w:val="00BB74FF"/>
    <w:pPr>
      <w:numPr>
        <w:ilvl w:val="0"/>
        <w:numId w:val="2"/>
      </w:numPr>
    </w:pPr>
  </w:style>
  <w:style w:type="table" w:styleId="TableGrid">
    <w:name w:val="Table Grid"/>
    <w:basedOn w:val="TableNormal"/>
    <w:uiPriority w:val="39"/>
    <w:rsid w:val="005D0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3B0C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CD4"/>
  </w:style>
  <w:style w:type="paragraph" w:styleId="Footer">
    <w:name w:val="footer"/>
    <w:basedOn w:val="Normal"/>
    <w:link w:val="FooterChar"/>
    <w:uiPriority w:val="99"/>
    <w:unhideWhenUsed/>
    <w:rsid w:val="003B0C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CD4"/>
  </w:style>
  <w:style w:type="character" w:styleId="UnresolvedMention">
    <w:name w:val="Unresolved Mention"/>
    <w:basedOn w:val="DefaultParagraphFont"/>
    <w:uiPriority w:val="99"/>
    <w:semiHidden/>
    <w:unhideWhenUsed/>
    <w:rsid w:val="00351D20"/>
    <w:rPr>
      <w:color w:val="605E5C"/>
      <w:shd w:val="clear" w:color="auto" w:fill="E1DFDD"/>
    </w:rPr>
  </w:style>
  <w:style w:type="character" w:styleId="FollowedHyperlink">
    <w:name w:val="FollowedHyperlink"/>
    <w:basedOn w:val="DefaultParagraphFont"/>
    <w:uiPriority w:val="99"/>
    <w:semiHidden/>
    <w:unhideWhenUsed/>
    <w:rsid w:val="00351D20"/>
    <w:rPr>
      <w:color w:val="954F72" w:themeColor="followedHyperlink"/>
      <w:u w:val="single"/>
    </w:rPr>
  </w:style>
  <w:style w:type="character" w:customStyle="1" w:styleId="ui-provider">
    <w:name w:val="ui-provider"/>
    <w:basedOn w:val="DefaultParagraphFont"/>
    <w:rsid w:val="006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registry/Pages/Complaints.aspx" TargetMode="External"/><Relationship Id="rId18" Type="http://schemas.openxmlformats.org/officeDocument/2006/relationships/hyperlink" Target="https://www.cardiffmet.ac.uk/about/Pages/privacy-statement.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ardiffmet.ac.uk/registry/academichandbook/Pages/Ah1_07.aspx" TargetMode="External"/><Relationship Id="rId7" Type="http://schemas.openxmlformats.org/officeDocument/2006/relationships/settings" Target="settings.xml"/><Relationship Id="rId12" Type="http://schemas.openxmlformats.org/officeDocument/2006/relationships/hyperlink" Target="https://www.cardiffmet.ac.uk/registry/academichandbook/Pages/Ah1_07.aspx" TargetMode="External"/><Relationship Id="rId17" Type="http://schemas.openxmlformats.org/officeDocument/2006/relationships/hyperlink" Target="mailto:aup@cardiffmet.ac.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ardiffmetsu.co.uk/support/academic/" TargetMode="External"/><Relationship Id="rId20" Type="http://schemas.openxmlformats.org/officeDocument/2006/relationships/hyperlink" Target="https://www.cardiffmet.ac.uk/registry/academichandbook/Pages/Ah1_07.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ardiffmet.ac.uk/registry/Pages/appeals.asp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DataProtection@cardiffmet.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met.ac.uk/registry/Pages/appeals.aspx" TargetMode="External"/><Relationship Id="rId22" Type="http://schemas.openxmlformats.org/officeDocument/2006/relationships/hyperlink" Target="https://www.cardiffmet.ac.uk/registry/academichandbook/Pages/Ah1_11.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42CC22-33AC-4185-A63B-11ACD997CABB}"/>
</file>

<file path=customXml/itemProps2.xml><?xml version="1.0" encoding="utf-8"?>
<ds:datastoreItem xmlns:ds="http://schemas.openxmlformats.org/officeDocument/2006/customXml" ds:itemID="{5592CC38-91B5-4443-86EF-C6F64F5BBE51}">
  <ds:schemaRefs>
    <ds:schemaRef ds:uri="http://schemas.openxmlformats.org/officeDocument/2006/bibliography"/>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f64892bb-846e-491e-935e-f887ccdb15ae"/>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3055</Words>
  <Characters>17416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Williams, Abigail</cp:lastModifiedBy>
  <cp:revision>2</cp:revision>
  <dcterms:created xsi:type="dcterms:W3CDTF">2024-07-24T13:49:00Z</dcterms:created>
  <dcterms:modified xsi:type="dcterms:W3CDTF">2024-07-24T13:49:00Z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y fmtid="{D5CDD505-2E9C-101B-9397-08002B2CF9AE}" pid="3" name="GrammarlyDocumentId">
    <vt:lpwstr>80dd1a33f41f8ae560697be3d9f16aeb5a36fee8d8e1436520935d6b64324b65</vt:lpwstr>
  </property>
</Properties>
</file>