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3F8BD" w14:textId="77777777" w:rsidR="004E6A38" w:rsidRDefault="004E6A38">
      <w:pPr>
        <w:pStyle w:val="BodyText"/>
        <w:rPr>
          <w:rFonts w:ascii="Times New Roman"/>
          <w:sz w:val="20"/>
        </w:rPr>
      </w:pPr>
    </w:p>
    <w:p w14:paraId="13BA4121" w14:textId="77777777" w:rsidR="004E6A38" w:rsidRDefault="004E6A38">
      <w:pPr>
        <w:pStyle w:val="BodyText"/>
        <w:rPr>
          <w:rFonts w:ascii="Times New Roman"/>
          <w:sz w:val="20"/>
        </w:rPr>
      </w:pPr>
    </w:p>
    <w:p w14:paraId="6B6159FD" w14:textId="77777777" w:rsidR="004E6A38" w:rsidRDefault="004E6A38">
      <w:pPr>
        <w:pStyle w:val="BodyText"/>
        <w:rPr>
          <w:rFonts w:ascii="Times New Roman"/>
          <w:sz w:val="20"/>
        </w:rPr>
      </w:pPr>
    </w:p>
    <w:p w14:paraId="10C6384C" w14:textId="77777777" w:rsidR="004E6A38" w:rsidRDefault="004E6A38">
      <w:pPr>
        <w:pStyle w:val="BodyText"/>
        <w:rPr>
          <w:rFonts w:ascii="Times New Roman"/>
          <w:sz w:val="20"/>
        </w:rPr>
      </w:pPr>
    </w:p>
    <w:p w14:paraId="1F6A78FA" w14:textId="77777777" w:rsidR="004E6A38" w:rsidRDefault="004E6A38">
      <w:pPr>
        <w:pStyle w:val="BodyText"/>
        <w:rPr>
          <w:rFonts w:ascii="Times New Roman"/>
          <w:sz w:val="20"/>
        </w:rPr>
      </w:pPr>
    </w:p>
    <w:p w14:paraId="52AFDF98" w14:textId="77777777" w:rsidR="004E6A38" w:rsidRDefault="004E6A38">
      <w:pPr>
        <w:pStyle w:val="BodyText"/>
        <w:rPr>
          <w:rFonts w:ascii="Times New Roman"/>
          <w:sz w:val="20"/>
        </w:rPr>
      </w:pPr>
    </w:p>
    <w:p w14:paraId="40219CB7" w14:textId="77777777" w:rsidR="004E6A38" w:rsidRDefault="004E6A38">
      <w:pPr>
        <w:pStyle w:val="BodyText"/>
        <w:rPr>
          <w:rFonts w:ascii="Times New Roman"/>
          <w:sz w:val="20"/>
        </w:rPr>
      </w:pPr>
    </w:p>
    <w:p w14:paraId="6485F1CB" w14:textId="77777777" w:rsidR="004E6A38" w:rsidRDefault="004E6A38">
      <w:pPr>
        <w:pStyle w:val="BodyText"/>
        <w:rPr>
          <w:rFonts w:ascii="Times New Roman"/>
          <w:sz w:val="20"/>
        </w:rPr>
      </w:pPr>
    </w:p>
    <w:p w14:paraId="0199E65F" w14:textId="77777777" w:rsidR="004E6A38" w:rsidRDefault="004E6A38">
      <w:pPr>
        <w:pStyle w:val="BodyText"/>
        <w:rPr>
          <w:rFonts w:ascii="Times New Roman"/>
          <w:sz w:val="20"/>
        </w:rPr>
      </w:pPr>
    </w:p>
    <w:p w14:paraId="08277407" w14:textId="77777777" w:rsidR="004E6A38" w:rsidRDefault="004E6A38">
      <w:pPr>
        <w:pStyle w:val="BodyText"/>
        <w:rPr>
          <w:rFonts w:ascii="Times New Roman"/>
          <w:sz w:val="20"/>
        </w:rPr>
      </w:pPr>
    </w:p>
    <w:p w14:paraId="6C9AD5C8" w14:textId="77777777" w:rsidR="004E6A38" w:rsidRDefault="004E6A38">
      <w:pPr>
        <w:pStyle w:val="BodyText"/>
        <w:rPr>
          <w:rFonts w:ascii="Times New Roman"/>
          <w:sz w:val="20"/>
        </w:rPr>
      </w:pPr>
    </w:p>
    <w:p w14:paraId="0B084991" w14:textId="77777777" w:rsidR="004E6A38" w:rsidRDefault="004E6A38">
      <w:pPr>
        <w:pStyle w:val="BodyText"/>
        <w:rPr>
          <w:rFonts w:ascii="Times New Roman"/>
          <w:sz w:val="20"/>
        </w:rPr>
      </w:pPr>
    </w:p>
    <w:p w14:paraId="57FAEAC2" w14:textId="77777777" w:rsidR="004E6A38" w:rsidRDefault="004E6A38">
      <w:pPr>
        <w:pStyle w:val="BodyText"/>
        <w:rPr>
          <w:rFonts w:ascii="Times New Roman"/>
          <w:sz w:val="20"/>
        </w:rPr>
      </w:pPr>
    </w:p>
    <w:p w14:paraId="500CFF53" w14:textId="77777777" w:rsidR="004E6A38" w:rsidRDefault="004E6A38">
      <w:pPr>
        <w:pStyle w:val="BodyText"/>
        <w:rPr>
          <w:rFonts w:ascii="Times New Roman"/>
          <w:sz w:val="20"/>
        </w:rPr>
      </w:pPr>
    </w:p>
    <w:p w14:paraId="1DABEDBE" w14:textId="77777777" w:rsidR="004E6A38" w:rsidRDefault="004E6A38">
      <w:pPr>
        <w:pStyle w:val="BodyText"/>
        <w:rPr>
          <w:rFonts w:ascii="Times New Roman"/>
          <w:sz w:val="20"/>
        </w:rPr>
      </w:pPr>
    </w:p>
    <w:p w14:paraId="67CC5CA6" w14:textId="77777777" w:rsidR="004E6A38" w:rsidRDefault="004E6A38">
      <w:pPr>
        <w:pStyle w:val="BodyText"/>
        <w:rPr>
          <w:rFonts w:ascii="Times New Roman"/>
          <w:sz w:val="20"/>
        </w:rPr>
      </w:pPr>
    </w:p>
    <w:p w14:paraId="260B4936" w14:textId="77777777" w:rsidR="004E6A38" w:rsidRDefault="004E6A38">
      <w:pPr>
        <w:pStyle w:val="BodyText"/>
        <w:rPr>
          <w:rFonts w:ascii="Times New Roman"/>
          <w:sz w:val="20"/>
        </w:rPr>
      </w:pPr>
    </w:p>
    <w:p w14:paraId="1A046E97" w14:textId="77777777" w:rsidR="004E6A38" w:rsidRDefault="004E6A38">
      <w:pPr>
        <w:pStyle w:val="BodyText"/>
        <w:rPr>
          <w:rFonts w:ascii="Times New Roman"/>
          <w:sz w:val="20"/>
        </w:rPr>
      </w:pPr>
    </w:p>
    <w:p w14:paraId="371365C1" w14:textId="77777777" w:rsidR="004E6A38" w:rsidRDefault="004E6A38">
      <w:pPr>
        <w:pStyle w:val="BodyText"/>
        <w:rPr>
          <w:rFonts w:ascii="Times New Roman"/>
          <w:sz w:val="20"/>
        </w:rPr>
      </w:pPr>
    </w:p>
    <w:p w14:paraId="7E338137" w14:textId="77777777" w:rsidR="004E6A38" w:rsidRDefault="004E6A38">
      <w:pPr>
        <w:pStyle w:val="BodyText"/>
        <w:rPr>
          <w:rFonts w:ascii="Times New Roman"/>
          <w:sz w:val="20"/>
        </w:rPr>
      </w:pPr>
    </w:p>
    <w:p w14:paraId="18F10E99" w14:textId="77777777" w:rsidR="004E6A38" w:rsidRDefault="004E6A38">
      <w:pPr>
        <w:pStyle w:val="BodyText"/>
        <w:rPr>
          <w:rFonts w:ascii="Times New Roman"/>
          <w:sz w:val="20"/>
        </w:rPr>
      </w:pPr>
    </w:p>
    <w:p w14:paraId="72C9C18C" w14:textId="77777777" w:rsidR="004E6A38" w:rsidRDefault="004E6A38">
      <w:pPr>
        <w:pStyle w:val="BodyText"/>
        <w:rPr>
          <w:rFonts w:ascii="Times New Roman"/>
          <w:sz w:val="20"/>
        </w:rPr>
      </w:pPr>
    </w:p>
    <w:p w14:paraId="4112FA04" w14:textId="77777777" w:rsidR="004E6A38" w:rsidRDefault="004E6A38">
      <w:pPr>
        <w:pStyle w:val="BodyText"/>
        <w:spacing w:before="10"/>
        <w:rPr>
          <w:rFonts w:ascii="Times New Roman"/>
          <w:sz w:val="18"/>
        </w:rPr>
      </w:pPr>
    </w:p>
    <w:p w14:paraId="100E437F" w14:textId="77777777" w:rsidR="004E6A38" w:rsidRDefault="006F4320">
      <w:pPr>
        <w:pStyle w:val="Heading1"/>
      </w:pPr>
      <w:r>
        <w:t>02.2</w:t>
      </w:r>
    </w:p>
    <w:p w14:paraId="0E402306" w14:textId="77777777" w:rsidR="004E6A38" w:rsidRDefault="006F4320">
      <w:pPr>
        <w:spacing w:before="240"/>
        <w:ind w:left="979" w:right="977"/>
        <w:jc w:val="center"/>
        <w:rPr>
          <w:b/>
          <w:sz w:val="48"/>
        </w:rPr>
      </w:pPr>
      <w:r>
        <w:rPr>
          <w:b/>
          <w:sz w:val="48"/>
        </w:rPr>
        <w:t>LEARNING OUTCOMES AND ASSESSMENT CRITERIA (GUIDANCE NOTE)</w:t>
      </w:r>
    </w:p>
    <w:p w14:paraId="1C377F4F" w14:textId="77777777" w:rsidR="004E6A38" w:rsidRDefault="004E6A38">
      <w:pPr>
        <w:jc w:val="center"/>
        <w:rPr>
          <w:sz w:val="48"/>
        </w:rPr>
        <w:sectPr w:rsidR="004E6A38">
          <w:footerReference w:type="default" r:id="rId10"/>
          <w:type w:val="continuous"/>
          <w:pgSz w:w="11910" w:h="16840"/>
          <w:pgMar w:top="1580" w:right="1680" w:bottom="1300" w:left="1680" w:header="720" w:footer="1102" w:gutter="0"/>
          <w:pgNumType w:start="1"/>
          <w:cols w:space="720"/>
        </w:sectPr>
      </w:pPr>
    </w:p>
    <w:p w14:paraId="181BB20C" w14:textId="77777777" w:rsidR="004E6A38" w:rsidRDefault="006F4320">
      <w:pPr>
        <w:pStyle w:val="Heading2"/>
        <w:spacing w:before="117"/>
      </w:pPr>
      <w:r>
        <w:lastRenderedPageBreak/>
        <w:t>Learning outcomes and assessment criteria: guidance note</w:t>
      </w:r>
    </w:p>
    <w:p w14:paraId="798A409C" w14:textId="77777777" w:rsidR="004E6A38" w:rsidRDefault="004E6A38">
      <w:pPr>
        <w:pStyle w:val="BodyText"/>
        <w:spacing w:before="10"/>
        <w:rPr>
          <w:b/>
          <w:sz w:val="23"/>
        </w:rPr>
      </w:pPr>
    </w:p>
    <w:p w14:paraId="47DDA119" w14:textId="77777777" w:rsidR="004E6A38" w:rsidRDefault="006F4320">
      <w:pPr>
        <w:pStyle w:val="ListParagraph"/>
        <w:numPr>
          <w:ilvl w:val="1"/>
          <w:numId w:val="4"/>
        </w:numPr>
        <w:tabs>
          <w:tab w:val="left" w:pos="631"/>
        </w:tabs>
        <w:jc w:val="both"/>
        <w:rPr>
          <w:sz w:val="24"/>
        </w:rPr>
      </w:pPr>
      <w:r>
        <w:rPr>
          <w:sz w:val="24"/>
        </w:rPr>
        <w:t>Learning outcomes and assessment criteria are an essential part of curriculum design and need to be written in the planning stages. Well written outcomes and criteria enable higher level skills and a learner-led curriculum to be</w:t>
      </w:r>
      <w:r>
        <w:rPr>
          <w:spacing w:val="-6"/>
          <w:sz w:val="24"/>
        </w:rPr>
        <w:t xml:space="preserve"> </w:t>
      </w:r>
      <w:r>
        <w:rPr>
          <w:sz w:val="24"/>
        </w:rPr>
        <w:t>developed.</w:t>
      </w:r>
    </w:p>
    <w:p w14:paraId="1C7A22D0" w14:textId="77777777" w:rsidR="004E6A38" w:rsidRDefault="004E6A38">
      <w:pPr>
        <w:pStyle w:val="BodyText"/>
      </w:pPr>
    </w:p>
    <w:p w14:paraId="14963A2A" w14:textId="77777777" w:rsidR="004E6A38" w:rsidRDefault="006F4320">
      <w:pPr>
        <w:pStyle w:val="Heading2"/>
        <w:ind w:left="630"/>
        <w:jc w:val="both"/>
      </w:pPr>
      <w:r>
        <w:t>Learning outcomes</w:t>
      </w:r>
    </w:p>
    <w:p w14:paraId="6242245D" w14:textId="77777777" w:rsidR="004E6A38" w:rsidRDefault="004E6A38">
      <w:pPr>
        <w:pStyle w:val="BodyText"/>
        <w:spacing w:before="9"/>
        <w:rPr>
          <w:b/>
          <w:sz w:val="23"/>
        </w:rPr>
      </w:pPr>
    </w:p>
    <w:p w14:paraId="1E79EC16" w14:textId="77777777" w:rsidR="004E6A38" w:rsidRDefault="006F4320">
      <w:pPr>
        <w:pStyle w:val="ListParagraph"/>
        <w:numPr>
          <w:ilvl w:val="2"/>
          <w:numId w:val="4"/>
        </w:numPr>
        <w:tabs>
          <w:tab w:val="left" w:pos="1561"/>
        </w:tabs>
        <w:ind w:right="121"/>
        <w:jc w:val="both"/>
        <w:rPr>
          <w:sz w:val="24"/>
        </w:rPr>
      </w:pPr>
      <w:r>
        <w:rPr>
          <w:sz w:val="24"/>
        </w:rPr>
        <w:t>define what students are expected to learn and what they need to do to</w:t>
      </w:r>
      <w:r>
        <w:rPr>
          <w:spacing w:val="-3"/>
          <w:sz w:val="24"/>
        </w:rPr>
        <w:t xml:space="preserve"> </w:t>
      </w:r>
      <w:r>
        <w:rPr>
          <w:sz w:val="24"/>
        </w:rPr>
        <w:t>pass.</w:t>
      </w:r>
    </w:p>
    <w:p w14:paraId="4662DBD6" w14:textId="77777777" w:rsidR="004E6A38" w:rsidRDefault="004E6A38">
      <w:pPr>
        <w:pStyle w:val="BodyText"/>
        <w:spacing w:before="10"/>
        <w:rPr>
          <w:sz w:val="23"/>
        </w:rPr>
      </w:pPr>
    </w:p>
    <w:p w14:paraId="59988465" w14:textId="08E77409" w:rsidR="004E6A38" w:rsidRDefault="006F4320" w:rsidP="4BF22181">
      <w:pPr>
        <w:pStyle w:val="ListParagraph"/>
        <w:numPr>
          <w:ilvl w:val="2"/>
          <w:numId w:val="4"/>
        </w:numPr>
        <w:tabs>
          <w:tab w:val="left" w:pos="1561"/>
        </w:tabs>
        <w:spacing w:before="1"/>
        <w:ind w:right="119"/>
        <w:jc w:val="both"/>
        <w:rPr>
          <w:sz w:val="24"/>
          <w:szCs w:val="24"/>
        </w:rPr>
      </w:pPr>
      <w:r w:rsidRPr="4BF22181">
        <w:rPr>
          <w:sz w:val="24"/>
          <w:szCs w:val="24"/>
        </w:rPr>
        <w:t>provide clarity for an external audience (other colleagues, examiners, parents, employers etc.) of the standards required of learners</w:t>
      </w:r>
      <w:r w:rsidR="082BFC43" w:rsidRPr="4BF22181">
        <w:rPr>
          <w:sz w:val="24"/>
          <w:szCs w:val="24"/>
        </w:rPr>
        <w:t>.</w:t>
      </w:r>
    </w:p>
    <w:p w14:paraId="4B1C06DC" w14:textId="77777777" w:rsidR="004E6A38" w:rsidRDefault="004E6A38">
      <w:pPr>
        <w:pStyle w:val="BodyText"/>
      </w:pPr>
    </w:p>
    <w:p w14:paraId="0D3FFC8B" w14:textId="2CC629B0" w:rsidR="004E6A38" w:rsidRDefault="006F4320" w:rsidP="4BF22181">
      <w:pPr>
        <w:pStyle w:val="ListParagraph"/>
        <w:numPr>
          <w:ilvl w:val="2"/>
          <w:numId w:val="4"/>
        </w:numPr>
        <w:tabs>
          <w:tab w:val="left" w:pos="1561"/>
        </w:tabs>
        <w:ind w:right="120"/>
        <w:jc w:val="both"/>
        <w:rPr>
          <w:sz w:val="24"/>
          <w:szCs w:val="24"/>
        </w:rPr>
      </w:pPr>
      <w:r w:rsidRPr="4BF22181">
        <w:rPr>
          <w:sz w:val="24"/>
          <w:szCs w:val="24"/>
        </w:rPr>
        <w:t>enable consistency of standards when, for example, several different tutors/markers are</w:t>
      </w:r>
      <w:r w:rsidRPr="4BF22181">
        <w:rPr>
          <w:spacing w:val="-5"/>
          <w:sz w:val="24"/>
          <w:szCs w:val="24"/>
        </w:rPr>
        <w:t xml:space="preserve"> </w:t>
      </w:r>
      <w:r w:rsidRPr="4BF22181">
        <w:rPr>
          <w:sz w:val="24"/>
          <w:szCs w:val="24"/>
        </w:rPr>
        <w:t>involved</w:t>
      </w:r>
      <w:r w:rsidR="7D7E154E" w:rsidRPr="4BF22181">
        <w:rPr>
          <w:sz w:val="24"/>
          <w:szCs w:val="24"/>
        </w:rPr>
        <w:t>.</w:t>
      </w:r>
    </w:p>
    <w:p w14:paraId="6AC81312" w14:textId="77777777" w:rsidR="004E6A38" w:rsidRDefault="004E6A38">
      <w:pPr>
        <w:pStyle w:val="BodyText"/>
        <w:spacing w:before="11"/>
        <w:rPr>
          <w:sz w:val="23"/>
        </w:rPr>
      </w:pPr>
    </w:p>
    <w:p w14:paraId="18908AAF" w14:textId="77777777" w:rsidR="004E6A38" w:rsidRDefault="006F4320">
      <w:pPr>
        <w:pStyle w:val="ListParagraph"/>
        <w:numPr>
          <w:ilvl w:val="2"/>
          <w:numId w:val="4"/>
        </w:numPr>
        <w:tabs>
          <w:tab w:val="left" w:pos="1561"/>
        </w:tabs>
        <w:jc w:val="both"/>
        <w:rPr>
          <w:sz w:val="24"/>
        </w:rPr>
      </w:pPr>
      <w:r>
        <w:rPr>
          <w:sz w:val="24"/>
        </w:rPr>
        <w:t>may, by specifying originality of thought, application or process, mitigate against</w:t>
      </w:r>
      <w:r>
        <w:rPr>
          <w:spacing w:val="-3"/>
          <w:sz w:val="24"/>
        </w:rPr>
        <w:t xml:space="preserve"> </w:t>
      </w:r>
      <w:r>
        <w:rPr>
          <w:sz w:val="24"/>
        </w:rPr>
        <w:t>plagiarism.</w:t>
      </w:r>
    </w:p>
    <w:p w14:paraId="7C2519D6" w14:textId="77777777" w:rsidR="004E6A38" w:rsidRDefault="004E6A38">
      <w:pPr>
        <w:pStyle w:val="BodyText"/>
        <w:spacing w:before="3"/>
      </w:pPr>
    </w:p>
    <w:p w14:paraId="365D24C6" w14:textId="77777777" w:rsidR="004E6A38" w:rsidRDefault="006F4320">
      <w:pPr>
        <w:pStyle w:val="BodyText"/>
        <w:ind w:left="660" w:right="118"/>
        <w:jc w:val="both"/>
      </w:pPr>
      <w:r>
        <w:rPr>
          <w:b/>
        </w:rPr>
        <w:t xml:space="preserve">Assessment criteria </w:t>
      </w:r>
      <w:r>
        <w:t xml:space="preserve">are based on the intended learning outcomes for the work being assessed and make explicit the knowledge, understanding and skills markers expect a student to display in the assessment task and which are </w:t>
      </w:r>
      <w:proofErr w:type="gramStart"/>
      <w:r>
        <w:t>taken into account</w:t>
      </w:r>
      <w:proofErr w:type="gramEnd"/>
      <w:r>
        <w:t xml:space="preserve"> in marking the</w:t>
      </w:r>
      <w:r>
        <w:rPr>
          <w:spacing w:val="-5"/>
        </w:rPr>
        <w:t xml:space="preserve"> </w:t>
      </w:r>
      <w:r>
        <w:t>work.</w:t>
      </w:r>
    </w:p>
    <w:p w14:paraId="2E58877D" w14:textId="77777777" w:rsidR="004E6A38" w:rsidRDefault="004E6A38">
      <w:pPr>
        <w:pStyle w:val="BodyText"/>
        <w:spacing w:before="3"/>
      </w:pPr>
    </w:p>
    <w:p w14:paraId="15528BCC" w14:textId="77777777" w:rsidR="004E6A38" w:rsidRDefault="006F4320">
      <w:pPr>
        <w:pStyle w:val="ListParagraph"/>
        <w:numPr>
          <w:ilvl w:val="1"/>
          <w:numId w:val="4"/>
        </w:numPr>
        <w:tabs>
          <w:tab w:val="left" w:pos="619"/>
        </w:tabs>
        <w:ind w:left="660" w:hanging="540"/>
        <w:jc w:val="both"/>
        <w:rPr>
          <w:sz w:val="24"/>
        </w:rPr>
      </w:pPr>
      <w:r>
        <w:rPr>
          <w:sz w:val="24"/>
        </w:rPr>
        <w:t xml:space="preserve">For learning outcomes and assessment criteria to be beneficial to students they need to be clearly aligned with teaching activities. They need to be used by learners within the teaching </w:t>
      </w:r>
      <w:proofErr w:type="spellStart"/>
      <w:r>
        <w:rPr>
          <w:sz w:val="24"/>
        </w:rPr>
        <w:t>programme</w:t>
      </w:r>
      <w:proofErr w:type="spellEnd"/>
      <w:r>
        <w:rPr>
          <w:sz w:val="24"/>
        </w:rPr>
        <w:t xml:space="preserve"> so that students gain familiarity with the language and application. Using criteria actively helps students learn to assess themselves and their peers, promoting autonomous</w:t>
      </w:r>
      <w:r>
        <w:rPr>
          <w:spacing w:val="-2"/>
          <w:sz w:val="24"/>
        </w:rPr>
        <w:t xml:space="preserve"> </w:t>
      </w:r>
      <w:r>
        <w:rPr>
          <w:sz w:val="24"/>
        </w:rPr>
        <w:t>learners.</w:t>
      </w:r>
    </w:p>
    <w:p w14:paraId="1AC9CC3B" w14:textId="77777777" w:rsidR="004E6A38" w:rsidRDefault="004E6A38">
      <w:pPr>
        <w:pStyle w:val="BodyText"/>
        <w:spacing w:before="11"/>
        <w:rPr>
          <w:sz w:val="23"/>
        </w:rPr>
      </w:pPr>
    </w:p>
    <w:p w14:paraId="4AACB2F9" w14:textId="410C44D1" w:rsidR="004E6A38" w:rsidRDefault="495342E0" w:rsidP="4BF22181">
      <w:pPr>
        <w:pStyle w:val="ListParagraph"/>
        <w:numPr>
          <w:ilvl w:val="1"/>
          <w:numId w:val="4"/>
        </w:numPr>
        <w:tabs>
          <w:tab w:val="left" w:pos="661"/>
        </w:tabs>
        <w:ind w:left="660" w:hanging="540"/>
        <w:jc w:val="both"/>
        <w:rPr>
          <w:sz w:val="24"/>
          <w:szCs w:val="24"/>
        </w:rPr>
      </w:pPr>
      <w:r w:rsidRPr="4BF22181">
        <w:rPr>
          <w:sz w:val="24"/>
          <w:szCs w:val="24"/>
        </w:rPr>
        <w:t xml:space="preserve">The Curriculum Design Requirements state that there should be </w:t>
      </w:r>
      <w:r w:rsidR="006F4320" w:rsidRPr="4BF22181">
        <w:rPr>
          <w:sz w:val="24"/>
          <w:szCs w:val="24"/>
        </w:rPr>
        <w:t xml:space="preserve">between 5 and 8 </w:t>
      </w:r>
      <w:r w:rsidR="4C3FDD18" w:rsidRPr="4BF22181">
        <w:rPr>
          <w:sz w:val="24"/>
          <w:szCs w:val="24"/>
        </w:rPr>
        <w:t xml:space="preserve">learning outcomes </w:t>
      </w:r>
      <w:r w:rsidR="006F4320" w:rsidRPr="4BF22181">
        <w:rPr>
          <w:sz w:val="24"/>
          <w:szCs w:val="24"/>
        </w:rPr>
        <w:t>per module (irrespective of credit weighting)</w:t>
      </w:r>
      <w:r w:rsidR="749A5CD8" w:rsidRPr="4BF22181">
        <w:rPr>
          <w:sz w:val="24"/>
          <w:szCs w:val="24"/>
        </w:rPr>
        <w:t>.</w:t>
      </w:r>
      <w:r w:rsidR="006F4320" w:rsidRPr="4BF22181">
        <w:rPr>
          <w:sz w:val="24"/>
          <w:szCs w:val="24"/>
        </w:rPr>
        <w:t xml:space="preserve"> </w:t>
      </w:r>
      <w:r w:rsidR="6C2CC6E8" w:rsidRPr="4BF22181">
        <w:rPr>
          <w:sz w:val="24"/>
          <w:szCs w:val="24"/>
        </w:rPr>
        <w:t>There will be s</w:t>
      </w:r>
      <w:r w:rsidR="006F4320" w:rsidRPr="4BF22181">
        <w:rPr>
          <w:sz w:val="24"/>
          <w:szCs w:val="24"/>
        </w:rPr>
        <w:t xml:space="preserve">ubsets of outcomes </w:t>
      </w:r>
      <w:r w:rsidR="00D36CD8" w:rsidRPr="4BF22181">
        <w:rPr>
          <w:sz w:val="24"/>
          <w:szCs w:val="24"/>
        </w:rPr>
        <w:t>for individual</w:t>
      </w:r>
      <w:r w:rsidR="006F4320" w:rsidRPr="4BF22181">
        <w:rPr>
          <w:sz w:val="24"/>
          <w:szCs w:val="24"/>
        </w:rPr>
        <w:t xml:space="preserve"> learning sessions</w:t>
      </w:r>
      <w:r w:rsidR="69DBEB2A" w:rsidRPr="4BF22181">
        <w:rPr>
          <w:sz w:val="24"/>
          <w:szCs w:val="24"/>
        </w:rPr>
        <w:t xml:space="preserve">, but these do not need to be included in definitive documentation for the </w:t>
      </w:r>
      <w:proofErr w:type="spellStart"/>
      <w:r w:rsidR="69DBEB2A" w:rsidRPr="4BF22181">
        <w:rPr>
          <w:sz w:val="24"/>
          <w:szCs w:val="24"/>
        </w:rPr>
        <w:t>programme</w:t>
      </w:r>
      <w:proofErr w:type="spellEnd"/>
      <w:r w:rsidR="00B546EF">
        <w:rPr>
          <w:sz w:val="24"/>
          <w:szCs w:val="24"/>
        </w:rPr>
        <w:t>.</w:t>
      </w:r>
      <w:r w:rsidR="006F4320" w:rsidRPr="4BF22181">
        <w:rPr>
          <w:sz w:val="24"/>
          <w:szCs w:val="24"/>
        </w:rPr>
        <w:t xml:space="preserve"> Outcomes should, over a </w:t>
      </w:r>
      <w:r w:rsidR="00D36CD8" w:rsidRPr="4BF22181">
        <w:rPr>
          <w:sz w:val="24"/>
          <w:szCs w:val="24"/>
        </w:rPr>
        <w:t xml:space="preserve">whole </w:t>
      </w:r>
      <w:proofErr w:type="spellStart"/>
      <w:r w:rsidR="00D36CD8" w:rsidRPr="4BF22181">
        <w:rPr>
          <w:sz w:val="24"/>
          <w:szCs w:val="24"/>
        </w:rPr>
        <w:t>programme</w:t>
      </w:r>
      <w:proofErr w:type="spellEnd"/>
      <w:r w:rsidR="006F4320" w:rsidRPr="4BF22181">
        <w:rPr>
          <w:sz w:val="24"/>
          <w:szCs w:val="24"/>
        </w:rPr>
        <w:t xml:space="preserve">, define the knowledge, applications and skills students are required to learn. Module learning outcomes should </w:t>
      </w:r>
      <w:r w:rsidR="3BCB71EA" w:rsidRPr="4BF22181">
        <w:rPr>
          <w:sz w:val="24"/>
          <w:szCs w:val="24"/>
        </w:rPr>
        <w:t>relate to</w:t>
      </w:r>
      <w:r w:rsidR="00E26833">
        <w:rPr>
          <w:sz w:val="24"/>
          <w:szCs w:val="24"/>
        </w:rPr>
        <w:t xml:space="preserve"> </w:t>
      </w:r>
      <w:proofErr w:type="spellStart"/>
      <w:r w:rsidR="006F4320" w:rsidRPr="4BF22181">
        <w:rPr>
          <w:sz w:val="24"/>
          <w:szCs w:val="24"/>
        </w:rPr>
        <w:t>programme</w:t>
      </w:r>
      <w:proofErr w:type="spellEnd"/>
      <w:r w:rsidR="006F4320" w:rsidRPr="4BF22181">
        <w:rPr>
          <w:sz w:val="24"/>
          <w:szCs w:val="24"/>
        </w:rPr>
        <w:t xml:space="preserve"> learning outcomes and clear alignment be</w:t>
      </w:r>
      <w:r w:rsidR="006F4320" w:rsidRPr="4BF22181">
        <w:rPr>
          <w:spacing w:val="-4"/>
          <w:sz w:val="24"/>
          <w:szCs w:val="24"/>
        </w:rPr>
        <w:t xml:space="preserve"> </w:t>
      </w:r>
      <w:r w:rsidR="006F4320" w:rsidRPr="4BF22181">
        <w:rPr>
          <w:sz w:val="24"/>
          <w:szCs w:val="24"/>
        </w:rPr>
        <w:t>identifiable.</w:t>
      </w:r>
    </w:p>
    <w:p w14:paraId="5E5AD57E" w14:textId="77777777" w:rsidR="004E6A38" w:rsidRDefault="004E6A38">
      <w:pPr>
        <w:pStyle w:val="BodyText"/>
        <w:spacing w:before="11"/>
        <w:rPr>
          <w:sz w:val="23"/>
        </w:rPr>
      </w:pPr>
    </w:p>
    <w:p w14:paraId="5DBD3736" w14:textId="77777777" w:rsidR="004E6A38" w:rsidRDefault="006F4320">
      <w:pPr>
        <w:pStyle w:val="ListParagraph"/>
        <w:numPr>
          <w:ilvl w:val="1"/>
          <w:numId w:val="4"/>
        </w:numPr>
        <w:tabs>
          <w:tab w:val="left" w:pos="661"/>
        </w:tabs>
        <w:ind w:left="660" w:right="119" w:hanging="540"/>
        <w:jc w:val="both"/>
        <w:rPr>
          <w:sz w:val="24"/>
        </w:rPr>
      </w:pPr>
      <w:r>
        <w:rPr>
          <w:sz w:val="24"/>
        </w:rPr>
        <w:t xml:space="preserve">Outcomes are written to represent the threshold standard expected to pass. Students who do not attain the threshold defined in the learning outcomes </w:t>
      </w:r>
      <w:proofErr w:type="gramStart"/>
      <w:r>
        <w:rPr>
          <w:sz w:val="24"/>
        </w:rPr>
        <w:t>by definition cannot</w:t>
      </w:r>
      <w:proofErr w:type="gramEnd"/>
      <w:r>
        <w:rPr>
          <w:sz w:val="24"/>
        </w:rPr>
        <w:t xml:space="preserve"> pass the</w:t>
      </w:r>
      <w:r>
        <w:rPr>
          <w:spacing w:val="-6"/>
          <w:sz w:val="24"/>
        </w:rPr>
        <w:t xml:space="preserve"> </w:t>
      </w:r>
      <w:r>
        <w:rPr>
          <w:sz w:val="24"/>
        </w:rPr>
        <w:t>module.</w:t>
      </w:r>
    </w:p>
    <w:p w14:paraId="3EFBF6CC" w14:textId="77777777" w:rsidR="004E6A38" w:rsidRDefault="004E6A38">
      <w:pPr>
        <w:pStyle w:val="BodyText"/>
        <w:spacing w:before="11"/>
        <w:rPr>
          <w:sz w:val="23"/>
        </w:rPr>
      </w:pPr>
    </w:p>
    <w:p w14:paraId="1FC123DD" w14:textId="77777777" w:rsidR="005B3499" w:rsidRPr="005B3499" w:rsidRDefault="00082B25" w:rsidP="4BF22181">
      <w:pPr>
        <w:pStyle w:val="ListParagraph"/>
        <w:numPr>
          <w:ilvl w:val="1"/>
          <w:numId w:val="4"/>
        </w:numPr>
        <w:tabs>
          <w:tab w:val="left" w:pos="589"/>
        </w:tabs>
        <w:ind w:left="660" w:right="119" w:hanging="540"/>
        <w:jc w:val="both"/>
        <w:rPr>
          <w:sz w:val="24"/>
          <w:szCs w:val="24"/>
        </w:rPr>
      </w:pPr>
      <w:r>
        <w:rPr>
          <w:sz w:val="24"/>
          <w:szCs w:val="24"/>
        </w:rPr>
        <w:t xml:space="preserve"> </w:t>
      </w:r>
      <w:r w:rsidR="006F4320" w:rsidRPr="4BF22181">
        <w:rPr>
          <w:sz w:val="24"/>
          <w:szCs w:val="24"/>
        </w:rPr>
        <w:t xml:space="preserve">Learning outcomes are the focus of curriculum design. Teaching activities should </w:t>
      </w:r>
      <w:r w:rsidR="62F95D0D" w:rsidRPr="4BF22181">
        <w:rPr>
          <w:sz w:val="24"/>
          <w:szCs w:val="24"/>
        </w:rPr>
        <w:t>relate to</w:t>
      </w:r>
      <w:r w:rsidR="006F4320" w:rsidRPr="4BF22181">
        <w:rPr>
          <w:sz w:val="24"/>
          <w:szCs w:val="24"/>
        </w:rPr>
        <w:t xml:space="preserve"> them and allow students to engage with the knowledge</w:t>
      </w:r>
      <w:r w:rsidR="006F4320" w:rsidRPr="4BF22181">
        <w:rPr>
          <w:spacing w:val="30"/>
          <w:sz w:val="24"/>
          <w:szCs w:val="24"/>
        </w:rPr>
        <w:t xml:space="preserve"> </w:t>
      </w:r>
      <w:r w:rsidR="006F4320" w:rsidRPr="4BF22181">
        <w:rPr>
          <w:sz w:val="24"/>
          <w:szCs w:val="24"/>
        </w:rPr>
        <w:t>and/or</w:t>
      </w:r>
      <w:r w:rsidR="006F4320" w:rsidRPr="4BF22181">
        <w:rPr>
          <w:spacing w:val="30"/>
          <w:sz w:val="24"/>
          <w:szCs w:val="24"/>
        </w:rPr>
        <w:t xml:space="preserve"> </w:t>
      </w:r>
      <w:r w:rsidR="71A3A9C5" w:rsidRPr="4BF22181">
        <w:rPr>
          <w:sz w:val="24"/>
          <w:szCs w:val="24"/>
        </w:rPr>
        <w:t>practice</w:t>
      </w:r>
      <w:r w:rsidR="006F4320" w:rsidRPr="4BF22181">
        <w:rPr>
          <w:spacing w:val="31"/>
          <w:sz w:val="24"/>
          <w:szCs w:val="24"/>
        </w:rPr>
        <w:t xml:space="preserve"> </w:t>
      </w:r>
      <w:r w:rsidR="006F4320" w:rsidRPr="4BF22181">
        <w:rPr>
          <w:sz w:val="24"/>
          <w:szCs w:val="24"/>
        </w:rPr>
        <w:t>the</w:t>
      </w:r>
      <w:r w:rsidR="006F4320" w:rsidRPr="4BF22181">
        <w:rPr>
          <w:spacing w:val="28"/>
          <w:sz w:val="24"/>
          <w:szCs w:val="24"/>
        </w:rPr>
        <w:t xml:space="preserve"> </w:t>
      </w:r>
      <w:r w:rsidR="006F4320" w:rsidRPr="4BF22181">
        <w:rPr>
          <w:sz w:val="24"/>
          <w:szCs w:val="24"/>
        </w:rPr>
        <w:t>applications</w:t>
      </w:r>
      <w:r w:rsidR="006F4320" w:rsidRPr="4BF22181">
        <w:rPr>
          <w:spacing w:val="30"/>
          <w:sz w:val="24"/>
          <w:szCs w:val="24"/>
        </w:rPr>
        <w:t xml:space="preserve"> </w:t>
      </w:r>
      <w:r w:rsidR="006F4320" w:rsidRPr="4BF22181">
        <w:rPr>
          <w:sz w:val="24"/>
          <w:szCs w:val="24"/>
        </w:rPr>
        <w:t>and</w:t>
      </w:r>
      <w:r w:rsidR="006F4320" w:rsidRPr="4BF22181">
        <w:rPr>
          <w:spacing w:val="28"/>
          <w:sz w:val="24"/>
          <w:szCs w:val="24"/>
        </w:rPr>
        <w:t xml:space="preserve"> </w:t>
      </w:r>
      <w:r w:rsidR="006F4320" w:rsidRPr="4BF22181">
        <w:rPr>
          <w:sz w:val="24"/>
          <w:szCs w:val="24"/>
        </w:rPr>
        <w:t>skills</w:t>
      </w:r>
      <w:r w:rsidR="006F4320" w:rsidRPr="4BF22181">
        <w:rPr>
          <w:spacing w:val="28"/>
          <w:sz w:val="24"/>
          <w:szCs w:val="24"/>
        </w:rPr>
        <w:t xml:space="preserve"> </w:t>
      </w:r>
      <w:r w:rsidR="006F4320" w:rsidRPr="4BF22181">
        <w:rPr>
          <w:sz w:val="24"/>
          <w:szCs w:val="24"/>
        </w:rPr>
        <w:t>designated</w:t>
      </w:r>
      <w:r w:rsidR="006F4320" w:rsidRPr="4BF22181">
        <w:rPr>
          <w:rFonts w:asciiTheme="minorHAnsi" w:eastAsiaTheme="minorEastAsia" w:hAnsiTheme="minorHAnsi" w:cstheme="minorBidi"/>
          <w:sz w:val="24"/>
          <w:szCs w:val="24"/>
        </w:rPr>
        <w:t xml:space="preserve"> </w:t>
      </w:r>
      <w:r w:rsidR="006F4320" w:rsidRPr="00B47758">
        <w:rPr>
          <w:rFonts w:eastAsiaTheme="minorEastAsia"/>
          <w:sz w:val="24"/>
          <w:szCs w:val="24"/>
        </w:rPr>
        <w:t>within</w:t>
      </w:r>
      <w:r w:rsidR="10426DBE" w:rsidRPr="00B47758">
        <w:rPr>
          <w:rFonts w:eastAsiaTheme="minorEastAsia"/>
          <w:sz w:val="24"/>
          <w:szCs w:val="24"/>
        </w:rPr>
        <w:t xml:space="preserve"> them.</w:t>
      </w:r>
      <w:r w:rsidR="10426DBE" w:rsidRPr="4BF22181">
        <w:rPr>
          <w:rFonts w:asciiTheme="minorHAnsi" w:eastAsiaTheme="minorEastAsia" w:hAnsiTheme="minorHAnsi" w:cstheme="minorBidi"/>
          <w:sz w:val="24"/>
          <w:szCs w:val="24"/>
        </w:rPr>
        <w:t xml:space="preserve"> </w:t>
      </w:r>
      <w:r w:rsidR="10426DBE" w:rsidRPr="00E26833">
        <w:rPr>
          <w:rFonts w:eastAsiaTheme="minorEastAsia"/>
          <w:sz w:val="24"/>
          <w:szCs w:val="24"/>
        </w:rPr>
        <w:t xml:space="preserve">Learning outcomes may be assessed by individual assignments or in a </w:t>
      </w:r>
      <w:r w:rsidR="10426DBE" w:rsidRPr="00E26833">
        <w:rPr>
          <w:rFonts w:eastAsiaTheme="minorEastAsia"/>
          <w:sz w:val="24"/>
          <w:szCs w:val="24"/>
        </w:rPr>
        <w:lastRenderedPageBreak/>
        <w:t>larger task, such as a project, which encompasses several learning outcomes. Whether individually or grouped, every learning outcome must</w:t>
      </w:r>
    </w:p>
    <w:p w14:paraId="4F898ADC" w14:textId="3FC1B12C" w:rsidR="005B3499" w:rsidRPr="005B3499" w:rsidRDefault="00286E03" w:rsidP="00286E03">
      <w:pPr>
        <w:pStyle w:val="ListParagraph"/>
        <w:ind w:left="1200"/>
        <w:rPr>
          <w:rFonts w:eastAsiaTheme="minorEastAsia"/>
          <w:sz w:val="24"/>
          <w:szCs w:val="24"/>
        </w:rPr>
      </w:pPr>
      <w:r>
        <w:rPr>
          <w:rFonts w:eastAsiaTheme="minorEastAsia"/>
          <w:sz w:val="24"/>
          <w:szCs w:val="24"/>
        </w:rPr>
        <w:t>be assessed.</w:t>
      </w:r>
    </w:p>
    <w:p w14:paraId="2A7632F3" w14:textId="429045AA" w:rsidR="004E6A38" w:rsidRPr="00B5162E" w:rsidRDefault="006F4320" w:rsidP="00286E03">
      <w:pPr>
        <w:pStyle w:val="ListParagraph"/>
        <w:tabs>
          <w:tab w:val="left" w:pos="589"/>
        </w:tabs>
        <w:ind w:right="119" w:firstLine="0"/>
        <w:jc w:val="left"/>
        <w:rPr>
          <w:sz w:val="24"/>
          <w:szCs w:val="24"/>
        </w:rPr>
      </w:pPr>
      <w:r w:rsidRPr="00E26833">
        <w:br/>
      </w:r>
      <w:r w:rsidR="10426DBE" w:rsidRPr="4BF22181">
        <w:rPr>
          <w:sz w:val="24"/>
          <w:szCs w:val="24"/>
        </w:rPr>
        <w:t xml:space="preserve">Assessment criteria specify how an assessment task will be judged. They may also include recognition of formative assessment, for example by requiring completion of a formative task as a pre-requisite for a summative assignment. Both formative and summative assessment tasks should enable learning by </w:t>
      </w:r>
      <w:proofErr w:type="spellStart"/>
      <w:r w:rsidR="10426DBE" w:rsidRPr="4BF22181">
        <w:rPr>
          <w:sz w:val="24"/>
          <w:szCs w:val="24"/>
        </w:rPr>
        <w:t>emphasising</w:t>
      </w:r>
      <w:proofErr w:type="spellEnd"/>
      <w:r w:rsidR="10426DBE" w:rsidRPr="4BF22181">
        <w:rPr>
          <w:sz w:val="24"/>
          <w:szCs w:val="24"/>
        </w:rPr>
        <w:t xml:space="preserve"> progress and achievement and hence foster motivation.</w:t>
      </w:r>
    </w:p>
    <w:p w14:paraId="090D500C" w14:textId="77777777" w:rsidR="004E6A38" w:rsidRPr="00B5162E" w:rsidRDefault="004E6A38" w:rsidP="4BF22181">
      <w:pPr>
        <w:pStyle w:val="BodyText"/>
        <w:spacing w:before="11"/>
        <w:ind w:left="720"/>
      </w:pPr>
    </w:p>
    <w:p w14:paraId="4DC5DDCC" w14:textId="77777777" w:rsidR="004E6A38" w:rsidRPr="00B5162E" w:rsidRDefault="10426DBE" w:rsidP="4BF22181">
      <w:pPr>
        <w:pStyle w:val="ListParagraph"/>
        <w:numPr>
          <w:ilvl w:val="1"/>
          <w:numId w:val="4"/>
        </w:numPr>
        <w:tabs>
          <w:tab w:val="left" w:pos="661"/>
        </w:tabs>
        <w:ind w:right="119"/>
        <w:jc w:val="both"/>
        <w:rPr>
          <w:sz w:val="24"/>
          <w:szCs w:val="24"/>
        </w:rPr>
      </w:pPr>
      <w:r w:rsidRPr="4BF22181">
        <w:rPr>
          <w:sz w:val="24"/>
          <w:szCs w:val="24"/>
        </w:rPr>
        <w:t>Assessment feedback should relate specifically to the learning outcomes and assessment criteria and indicate to learners how to improve.</w:t>
      </w:r>
    </w:p>
    <w:p w14:paraId="40F7C7FE" w14:textId="77777777" w:rsidR="004E6A38" w:rsidRPr="00B5162E" w:rsidRDefault="004E6A38" w:rsidP="4BF22181">
      <w:pPr>
        <w:pStyle w:val="BodyText"/>
        <w:spacing w:before="11"/>
      </w:pPr>
    </w:p>
    <w:p w14:paraId="6D73AAA5" w14:textId="1430AAF1" w:rsidR="004E6A38" w:rsidRPr="00B5162E" w:rsidRDefault="10426DBE" w:rsidP="4BF22181">
      <w:pPr>
        <w:pStyle w:val="ListParagraph"/>
        <w:numPr>
          <w:ilvl w:val="1"/>
          <w:numId w:val="4"/>
        </w:numPr>
        <w:tabs>
          <w:tab w:val="left" w:pos="568"/>
        </w:tabs>
        <w:ind w:right="117"/>
        <w:jc w:val="both"/>
        <w:rPr>
          <w:sz w:val="24"/>
          <w:szCs w:val="24"/>
        </w:rPr>
      </w:pPr>
      <w:r w:rsidRPr="4BF22181">
        <w:rPr>
          <w:sz w:val="24"/>
          <w:szCs w:val="24"/>
        </w:rPr>
        <w:t>When writing outcomes and criteria the potentially broad nature of the audience should be borne in mind (see 1.1.2) and the language kept clear and straightforward, avoiding ambiguity. For further advice on writing outcomes and criteria and developing assignment tasks, consult the Quality Enhancement Directorate website.</w:t>
      </w:r>
    </w:p>
    <w:sectPr w:rsidR="004E6A38" w:rsidRPr="00B5162E">
      <w:pgSz w:w="11910" w:h="16840"/>
      <w:pgMar w:top="1340" w:right="1680" w:bottom="1300" w:left="1680" w:header="0" w:footer="11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DC122" w14:textId="77777777" w:rsidR="00B67A3A" w:rsidRDefault="00B67A3A">
      <w:r>
        <w:separator/>
      </w:r>
    </w:p>
  </w:endnote>
  <w:endnote w:type="continuationSeparator" w:id="0">
    <w:p w14:paraId="717771FF" w14:textId="77777777" w:rsidR="00B67A3A" w:rsidRDefault="00B67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933" w14:textId="4E013FBF" w:rsidR="004E6A38" w:rsidRDefault="00F93FA2">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14:anchorId="12FB8F9B" wp14:editId="7D9165F4">
              <wp:simplePos x="0" y="0"/>
              <wp:positionH relativeFrom="page">
                <wp:posOffset>1244600</wp:posOffset>
              </wp:positionH>
              <wp:positionV relativeFrom="page">
                <wp:posOffset>9852660</wp:posOffset>
              </wp:positionV>
              <wp:extent cx="4841875" cy="464820"/>
              <wp:effectExtent l="0"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1875"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91571" w14:textId="28F31B73" w:rsidR="004E6A38" w:rsidRDefault="006F4320">
                          <w:pPr>
                            <w:spacing w:before="14"/>
                            <w:ind w:left="20" w:right="18"/>
                            <w:jc w:val="center"/>
                            <w:rPr>
                              <w:sz w:val="16"/>
                            </w:rPr>
                          </w:pPr>
                          <w:r>
                            <w:rPr>
                              <w:sz w:val="16"/>
                            </w:rPr>
                            <w:t>Academic Handbook 20</w:t>
                          </w:r>
                          <w:r w:rsidR="009D326E">
                            <w:rPr>
                              <w:sz w:val="16"/>
                            </w:rPr>
                            <w:t>2</w:t>
                          </w:r>
                          <w:r w:rsidR="0047220F">
                            <w:rPr>
                              <w:sz w:val="16"/>
                            </w:rPr>
                            <w:t>5</w:t>
                          </w:r>
                          <w:r>
                            <w:rPr>
                              <w:sz w:val="16"/>
                            </w:rPr>
                            <w:t>/2</w:t>
                          </w:r>
                          <w:r w:rsidR="008B3347">
                            <w:rPr>
                              <w:sz w:val="16"/>
                            </w:rPr>
                            <w:t>6</w:t>
                          </w:r>
                          <w:r>
                            <w:rPr>
                              <w:sz w:val="16"/>
                            </w:rPr>
                            <w:t xml:space="preserve"> – Volume 2 – 02.2 – Learning Outcomes and Assessment Criteria (Guidance Note) – introduced 22.09.08</w:t>
                          </w:r>
                          <w:r w:rsidR="00CE66D4">
                            <w:rPr>
                              <w:sz w:val="16"/>
                            </w:rPr>
                            <w:t xml:space="preserve">; </w:t>
                          </w:r>
                          <w:r w:rsidR="00472FB2">
                            <w:rPr>
                              <w:sz w:val="16"/>
                            </w:rPr>
                            <w:t xml:space="preserve">modified </w:t>
                          </w:r>
                          <w:r w:rsidR="00CE66D4">
                            <w:rPr>
                              <w:sz w:val="16"/>
                            </w:rPr>
                            <w:t>27.09.19</w:t>
                          </w:r>
                          <w:r w:rsidR="00CB491F">
                            <w:rPr>
                              <w:sz w:val="16"/>
                            </w:rPr>
                            <w:t>, 17.07.25</w:t>
                          </w:r>
                        </w:p>
                        <w:p w14:paraId="471886E3" w14:textId="149F084B" w:rsidR="004E6A38" w:rsidRDefault="006F4320">
                          <w:pPr>
                            <w:spacing w:before="121"/>
                            <w:ind w:left="76"/>
                            <w:jc w:val="center"/>
                            <w:rPr>
                              <w:sz w:val="18"/>
                            </w:rPr>
                          </w:pPr>
                          <w:r>
                            <w:fldChar w:fldCharType="begin"/>
                          </w:r>
                          <w:r>
                            <w:rPr>
                              <w:w w:val="99"/>
                              <w:sz w:val="18"/>
                            </w:rPr>
                            <w:instrText xml:space="preserve"> PAGE </w:instrText>
                          </w:r>
                          <w:r>
                            <w:fldChar w:fldCharType="separate"/>
                          </w:r>
                          <w:r w:rsidR="00E1723E">
                            <w:rPr>
                              <w:noProof/>
                              <w:w w:val="99"/>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B8F9B" id="_x0000_t202" coordsize="21600,21600" o:spt="202" path="m,l,21600r21600,l21600,xe">
              <v:stroke joinstyle="miter"/>
              <v:path gradientshapeok="t" o:connecttype="rect"/>
            </v:shapetype>
            <v:shape id="Text Box 1" o:spid="_x0000_s1026" type="#_x0000_t202" style="position:absolute;margin-left:98pt;margin-top:775.8pt;width:381.25pt;height:36.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" filled="f" stroked="f">
              <v:textbox inset="0,0,0,0">
                <w:txbxContent>
                  <w:p w14:paraId="74D91571" w14:textId="28F31B73" w:rsidR="004E6A38" w:rsidRDefault="006F4320">
                    <w:pPr>
                      <w:spacing w:before="14"/>
                      <w:ind w:left="20" w:right="18"/>
                      <w:jc w:val="center"/>
                      <w:rPr>
                        <w:sz w:val="16"/>
                      </w:rPr>
                    </w:pPr>
                    <w:r>
                      <w:rPr>
                        <w:sz w:val="16"/>
                      </w:rPr>
                      <w:t>Academic Handbook 20</w:t>
                    </w:r>
                    <w:r w:rsidR="009D326E">
                      <w:rPr>
                        <w:sz w:val="16"/>
                      </w:rPr>
                      <w:t>2</w:t>
                    </w:r>
                    <w:r w:rsidR="0047220F">
                      <w:rPr>
                        <w:sz w:val="16"/>
                      </w:rPr>
                      <w:t>5</w:t>
                    </w:r>
                    <w:r>
                      <w:rPr>
                        <w:sz w:val="16"/>
                      </w:rPr>
                      <w:t>/2</w:t>
                    </w:r>
                    <w:r w:rsidR="008B3347">
                      <w:rPr>
                        <w:sz w:val="16"/>
                      </w:rPr>
                      <w:t>6</w:t>
                    </w:r>
                    <w:r>
                      <w:rPr>
                        <w:sz w:val="16"/>
                      </w:rPr>
                      <w:t xml:space="preserve"> – Volume 2 – 02.2 – Learning Outcomes and Assessment Criteria (Guidance Note) – introduced 22.09.08</w:t>
                    </w:r>
                    <w:r w:rsidR="00CE66D4">
                      <w:rPr>
                        <w:sz w:val="16"/>
                      </w:rPr>
                      <w:t xml:space="preserve">; </w:t>
                    </w:r>
                    <w:r w:rsidR="00472FB2">
                      <w:rPr>
                        <w:sz w:val="16"/>
                      </w:rPr>
                      <w:t xml:space="preserve">modified </w:t>
                    </w:r>
                    <w:r w:rsidR="00CE66D4">
                      <w:rPr>
                        <w:sz w:val="16"/>
                      </w:rPr>
                      <w:t>27.09.19</w:t>
                    </w:r>
                    <w:r w:rsidR="00CB491F">
                      <w:rPr>
                        <w:sz w:val="16"/>
                      </w:rPr>
                      <w:t>, 17.07.25</w:t>
                    </w:r>
                  </w:p>
                  <w:p w14:paraId="471886E3" w14:textId="149F084B" w:rsidR="004E6A38" w:rsidRDefault="006F4320">
                    <w:pPr>
                      <w:spacing w:before="121"/>
                      <w:ind w:left="76"/>
                      <w:jc w:val="center"/>
                      <w:rPr>
                        <w:sz w:val="18"/>
                      </w:rPr>
                    </w:pPr>
                    <w:r>
                      <w:fldChar w:fldCharType="begin"/>
                    </w:r>
                    <w:r>
                      <w:rPr>
                        <w:w w:val="99"/>
                        <w:sz w:val="18"/>
                      </w:rPr>
                      <w:instrText xml:space="preserve"> PAGE </w:instrText>
                    </w:r>
                    <w:r>
                      <w:fldChar w:fldCharType="separate"/>
                    </w:r>
                    <w:r w:rsidR="00E1723E">
                      <w:rPr>
                        <w:noProof/>
                        <w:w w:val="99"/>
                        <w:sz w:val="1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99E8A" w14:textId="77777777" w:rsidR="00B67A3A" w:rsidRDefault="00B67A3A">
      <w:r>
        <w:separator/>
      </w:r>
    </w:p>
  </w:footnote>
  <w:footnote w:type="continuationSeparator" w:id="0">
    <w:p w14:paraId="6F470342" w14:textId="77777777" w:rsidR="00B67A3A" w:rsidRDefault="00B67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46F1"/>
    <w:multiLevelType w:val="multilevel"/>
    <w:tmpl w:val="5536777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61BC0D"/>
    <w:multiLevelType w:val="hybridMultilevel"/>
    <w:tmpl w:val="97F4FCF6"/>
    <w:lvl w:ilvl="0" w:tplc="26B8EB40">
      <w:numFmt w:val="none"/>
      <w:lvlText w:val=""/>
      <w:lvlJc w:val="left"/>
      <w:pPr>
        <w:tabs>
          <w:tab w:val="num" w:pos="360"/>
        </w:tabs>
      </w:pPr>
    </w:lvl>
    <w:lvl w:ilvl="1" w:tplc="855E0842">
      <w:start w:val="1"/>
      <w:numFmt w:val="lowerLetter"/>
      <w:lvlText w:val="%2."/>
      <w:lvlJc w:val="left"/>
      <w:pPr>
        <w:ind w:left="1440" w:hanging="360"/>
      </w:pPr>
    </w:lvl>
    <w:lvl w:ilvl="2" w:tplc="4290FA72">
      <w:start w:val="1"/>
      <w:numFmt w:val="lowerRoman"/>
      <w:lvlText w:val="%3."/>
      <w:lvlJc w:val="right"/>
      <w:pPr>
        <w:ind w:left="2160" w:hanging="180"/>
      </w:pPr>
    </w:lvl>
    <w:lvl w:ilvl="3" w:tplc="7646D53C">
      <w:start w:val="1"/>
      <w:numFmt w:val="decimal"/>
      <w:lvlText w:val="%4."/>
      <w:lvlJc w:val="left"/>
      <w:pPr>
        <w:ind w:left="2880" w:hanging="360"/>
      </w:pPr>
    </w:lvl>
    <w:lvl w:ilvl="4" w:tplc="DC6493BC">
      <w:start w:val="1"/>
      <w:numFmt w:val="lowerLetter"/>
      <w:lvlText w:val="%5."/>
      <w:lvlJc w:val="left"/>
      <w:pPr>
        <w:ind w:left="3600" w:hanging="360"/>
      </w:pPr>
    </w:lvl>
    <w:lvl w:ilvl="5" w:tplc="17546440">
      <w:start w:val="1"/>
      <w:numFmt w:val="lowerRoman"/>
      <w:lvlText w:val="%6."/>
      <w:lvlJc w:val="right"/>
      <w:pPr>
        <w:ind w:left="4320" w:hanging="180"/>
      </w:pPr>
    </w:lvl>
    <w:lvl w:ilvl="6" w:tplc="56B6FA7C">
      <w:start w:val="1"/>
      <w:numFmt w:val="decimal"/>
      <w:lvlText w:val="%7."/>
      <w:lvlJc w:val="left"/>
      <w:pPr>
        <w:ind w:left="5040" w:hanging="360"/>
      </w:pPr>
    </w:lvl>
    <w:lvl w:ilvl="7" w:tplc="195C33AE">
      <w:start w:val="1"/>
      <w:numFmt w:val="lowerLetter"/>
      <w:lvlText w:val="%8."/>
      <w:lvlJc w:val="left"/>
      <w:pPr>
        <w:ind w:left="5760" w:hanging="360"/>
      </w:pPr>
    </w:lvl>
    <w:lvl w:ilvl="8" w:tplc="21D67F1C">
      <w:start w:val="1"/>
      <w:numFmt w:val="lowerRoman"/>
      <w:lvlText w:val="%9."/>
      <w:lvlJc w:val="right"/>
      <w:pPr>
        <w:ind w:left="6480" w:hanging="180"/>
      </w:pPr>
    </w:lvl>
  </w:abstractNum>
  <w:abstractNum w:abstractNumId="2" w15:restartNumberingAfterBreak="0">
    <w:nsid w:val="38E93CE0"/>
    <w:multiLevelType w:val="hybridMultilevel"/>
    <w:tmpl w:val="1D3CF0A8"/>
    <w:lvl w:ilvl="0" w:tplc="1996F518">
      <w:numFmt w:val="none"/>
      <w:lvlText w:val=""/>
      <w:lvlJc w:val="left"/>
      <w:pPr>
        <w:tabs>
          <w:tab w:val="num" w:pos="360"/>
        </w:tabs>
      </w:pPr>
    </w:lvl>
    <w:lvl w:ilvl="1" w:tplc="45F4F6B8">
      <w:start w:val="1"/>
      <w:numFmt w:val="lowerLetter"/>
      <w:lvlText w:val="%2."/>
      <w:lvlJc w:val="left"/>
      <w:pPr>
        <w:ind w:left="1440" w:hanging="360"/>
      </w:pPr>
    </w:lvl>
    <w:lvl w:ilvl="2" w:tplc="8818787C">
      <w:start w:val="1"/>
      <w:numFmt w:val="lowerRoman"/>
      <w:lvlText w:val="%3."/>
      <w:lvlJc w:val="right"/>
      <w:pPr>
        <w:ind w:left="2160" w:hanging="180"/>
      </w:pPr>
    </w:lvl>
    <w:lvl w:ilvl="3" w:tplc="B0960A7A">
      <w:start w:val="1"/>
      <w:numFmt w:val="decimal"/>
      <w:lvlText w:val="%4."/>
      <w:lvlJc w:val="left"/>
      <w:pPr>
        <w:ind w:left="2880" w:hanging="360"/>
      </w:pPr>
    </w:lvl>
    <w:lvl w:ilvl="4" w:tplc="36B2C96E">
      <w:start w:val="1"/>
      <w:numFmt w:val="lowerLetter"/>
      <w:lvlText w:val="%5."/>
      <w:lvlJc w:val="left"/>
      <w:pPr>
        <w:ind w:left="3600" w:hanging="360"/>
      </w:pPr>
    </w:lvl>
    <w:lvl w:ilvl="5" w:tplc="06E4A898">
      <w:start w:val="1"/>
      <w:numFmt w:val="lowerRoman"/>
      <w:lvlText w:val="%6."/>
      <w:lvlJc w:val="right"/>
      <w:pPr>
        <w:ind w:left="4320" w:hanging="180"/>
      </w:pPr>
    </w:lvl>
    <w:lvl w:ilvl="6" w:tplc="73D0740C">
      <w:start w:val="1"/>
      <w:numFmt w:val="decimal"/>
      <w:lvlText w:val="%7."/>
      <w:lvlJc w:val="left"/>
      <w:pPr>
        <w:ind w:left="5040" w:hanging="360"/>
      </w:pPr>
    </w:lvl>
    <w:lvl w:ilvl="7" w:tplc="4FE8FE0E">
      <w:start w:val="1"/>
      <w:numFmt w:val="lowerLetter"/>
      <w:lvlText w:val="%8."/>
      <w:lvlJc w:val="left"/>
      <w:pPr>
        <w:ind w:left="5760" w:hanging="360"/>
      </w:pPr>
    </w:lvl>
    <w:lvl w:ilvl="8" w:tplc="09A2F12E">
      <w:start w:val="1"/>
      <w:numFmt w:val="lowerRoman"/>
      <w:lvlText w:val="%9."/>
      <w:lvlJc w:val="right"/>
      <w:pPr>
        <w:ind w:left="6480" w:hanging="180"/>
      </w:pPr>
    </w:lvl>
  </w:abstractNum>
  <w:abstractNum w:abstractNumId="3" w15:restartNumberingAfterBreak="0">
    <w:nsid w:val="3FC94A1E"/>
    <w:multiLevelType w:val="multilevel"/>
    <w:tmpl w:val="D81ADB76"/>
    <w:lvl w:ilvl="0">
      <w:start w:val="1"/>
      <w:numFmt w:val="decimal"/>
      <w:lvlText w:val="%1"/>
      <w:lvlJc w:val="left"/>
      <w:pPr>
        <w:ind w:left="630" w:hanging="510"/>
        <w:jc w:val="left"/>
      </w:pPr>
      <w:rPr>
        <w:rFonts w:hint="default"/>
      </w:rPr>
    </w:lvl>
    <w:lvl w:ilvl="1">
      <w:start w:val="1"/>
      <w:numFmt w:val="decimal"/>
      <w:lvlText w:val="%1.%2"/>
      <w:lvlJc w:val="left"/>
      <w:pPr>
        <w:ind w:left="630" w:hanging="510"/>
        <w:jc w:val="left"/>
      </w:pPr>
      <w:rPr>
        <w:rFonts w:ascii="Arial" w:hAnsi="Arial" w:hint="default"/>
        <w:w w:val="99"/>
        <w:sz w:val="24"/>
        <w:szCs w:val="24"/>
      </w:rPr>
    </w:lvl>
    <w:lvl w:ilvl="2">
      <w:start w:val="1"/>
      <w:numFmt w:val="decimal"/>
      <w:lvlText w:val="%1.%2.%3"/>
      <w:lvlJc w:val="left"/>
      <w:pPr>
        <w:ind w:left="1560" w:hanging="720"/>
        <w:jc w:val="left"/>
      </w:pPr>
      <w:rPr>
        <w:rFonts w:ascii="Arial" w:eastAsia="Arial" w:hAnsi="Arial" w:cs="Arial" w:hint="default"/>
        <w:spacing w:val="-14"/>
        <w:w w:val="99"/>
        <w:sz w:val="24"/>
        <w:szCs w:val="24"/>
      </w:rPr>
    </w:lvl>
    <w:lvl w:ilvl="3">
      <w:numFmt w:val="bullet"/>
      <w:lvlText w:val="•"/>
      <w:lvlJc w:val="left"/>
      <w:pPr>
        <w:ind w:left="3112" w:hanging="720"/>
      </w:pPr>
      <w:rPr>
        <w:rFonts w:hint="default"/>
      </w:rPr>
    </w:lvl>
    <w:lvl w:ilvl="4">
      <w:numFmt w:val="bullet"/>
      <w:lvlText w:val="•"/>
      <w:lvlJc w:val="left"/>
      <w:pPr>
        <w:ind w:left="3888" w:hanging="720"/>
      </w:pPr>
      <w:rPr>
        <w:rFonts w:hint="default"/>
      </w:rPr>
    </w:lvl>
    <w:lvl w:ilvl="5">
      <w:numFmt w:val="bullet"/>
      <w:lvlText w:val="•"/>
      <w:lvlJc w:val="left"/>
      <w:pPr>
        <w:ind w:left="4665" w:hanging="720"/>
      </w:pPr>
      <w:rPr>
        <w:rFonts w:hint="default"/>
      </w:rPr>
    </w:lvl>
    <w:lvl w:ilvl="6">
      <w:numFmt w:val="bullet"/>
      <w:lvlText w:val="•"/>
      <w:lvlJc w:val="left"/>
      <w:pPr>
        <w:ind w:left="5441" w:hanging="720"/>
      </w:pPr>
      <w:rPr>
        <w:rFonts w:hint="default"/>
      </w:rPr>
    </w:lvl>
    <w:lvl w:ilvl="7">
      <w:numFmt w:val="bullet"/>
      <w:lvlText w:val="•"/>
      <w:lvlJc w:val="left"/>
      <w:pPr>
        <w:ind w:left="6217" w:hanging="720"/>
      </w:pPr>
      <w:rPr>
        <w:rFonts w:hint="default"/>
      </w:rPr>
    </w:lvl>
    <w:lvl w:ilvl="8">
      <w:numFmt w:val="bullet"/>
      <w:lvlText w:val="•"/>
      <w:lvlJc w:val="left"/>
      <w:pPr>
        <w:ind w:left="6993" w:hanging="720"/>
      </w:pPr>
      <w:rPr>
        <w:rFonts w:hint="default"/>
      </w:rPr>
    </w:lvl>
  </w:abstractNum>
  <w:num w:numId="1" w16cid:durableId="323629130">
    <w:abstractNumId w:val="0"/>
  </w:num>
  <w:num w:numId="2" w16cid:durableId="995105238">
    <w:abstractNumId w:val="2"/>
  </w:num>
  <w:num w:numId="3" w16cid:durableId="195579205">
    <w:abstractNumId w:val="1"/>
  </w:num>
  <w:num w:numId="4" w16cid:durableId="465584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A38"/>
    <w:rsid w:val="0002670A"/>
    <w:rsid w:val="00047A03"/>
    <w:rsid w:val="00082B25"/>
    <w:rsid w:val="00112629"/>
    <w:rsid w:val="001B0251"/>
    <w:rsid w:val="001E6E0A"/>
    <w:rsid w:val="001F3B32"/>
    <w:rsid w:val="00234D59"/>
    <w:rsid w:val="00286E03"/>
    <w:rsid w:val="00412387"/>
    <w:rsid w:val="0047220F"/>
    <w:rsid w:val="00472FB2"/>
    <w:rsid w:val="004A17C9"/>
    <w:rsid w:val="004E6A38"/>
    <w:rsid w:val="00546D87"/>
    <w:rsid w:val="005A4FD5"/>
    <w:rsid w:val="005B3499"/>
    <w:rsid w:val="005B5333"/>
    <w:rsid w:val="005B7959"/>
    <w:rsid w:val="00602CCB"/>
    <w:rsid w:val="00635803"/>
    <w:rsid w:val="00673AFD"/>
    <w:rsid w:val="00686AD6"/>
    <w:rsid w:val="006F4320"/>
    <w:rsid w:val="00765BAE"/>
    <w:rsid w:val="00846B76"/>
    <w:rsid w:val="008B3347"/>
    <w:rsid w:val="008F1256"/>
    <w:rsid w:val="009016DB"/>
    <w:rsid w:val="00975F35"/>
    <w:rsid w:val="009D086A"/>
    <w:rsid w:val="009D326E"/>
    <w:rsid w:val="00A0070A"/>
    <w:rsid w:val="00B47758"/>
    <w:rsid w:val="00B5162E"/>
    <w:rsid w:val="00B546EF"/>
    <w:rsid w:val="00B64B3B"/>
    <w:rsid w:val="00B67A3A"/>
    <w:rsid w:val="00C613D9"/>
    <w:rsid w:val="00C93887"/>
    <w:rsid w:val="00C97B29"/>
    <w:rsid w:val="00CB491F"/>
    <w:rsid w:val="00CC2D5F"/>
    <w:rsid w:val="00CC338C"/>
    <w:rsid w:val="00CE66D4"/>
    <w:rsid w:val="00D36CD8"/>
    <w:rsid w:val="00DF4CD3"/>
    <w:rsid w:val="00E1723E"/>
    <w:rsid w:val="00E26833"/>
    <w:rsid w:val="00EC3EE2"/>
    <w:rsid w:val="00F07E04"/>
    <w:rsid w:val="00F14146"/>
    <w:rsid w:val="00F83213"/>
    <w:rsid w:val="00F93FA2"/>
    <w:rsid w:val="00FD3156"/>
    <w:rsid w:val="082BFC43"/>
    <w:rsid w:val="0A9F3BD7"/>
    <w:rsid w:val="10426DBE"/>
    <w:rsid w:val="10FB0817"/>
    <w:rsid w:val="17A7636C"/>
    <w:rsid w:val="17FC54A8"/>
    <w:rsid w:val="1D09B947"/>
    <w:rsid w:val="1D31687A"/>
    <w:rsid w:val="25B94B69"/>
    <w:rsid w:val="271C49CB"/>
    <w:rsid w:val="2A97BE5D"/>
    <w:rsid w:val="33DBCFEA"/>
    <w:rsid w:val="377C57E1"/>
    <w:rsid w:val="3BCB71EA"/>
    <w:rsid w:val="3D424382"/>
    <w:rsid w:val="45D113BA"/>
    <w:rsid w:val="495342E0"/>
    <w:rsid w:val="4BF22181"/>
    <w:rsid w:val="4C3FDD18"/>
    <w:rsid w:val="4C696148"/>
    <w:rsid w:val="4E93E549"/>
    <w:rsid w:val="5A30AABB"/>
    <w:rsid w:val="62DB13F5"/>
    <w:rsid w:val="62F95D0D"/>
    <w:rsid w:val="676CB803"/>
    <w:rsid w:val="69B457E9"/>
    <w:rsid w:val="69DBEB2A"/>
    <w:rsid w:val="6C2CC6E8"/>
    <w:rsid w:val="6F73CAF4"/>
    <w:rsid w:val="6FD72664"/>
    <w:rsid w:val="71A3A9C5"/>
    <w:rsid w:val="749A5CD8"/>
    <w:rsid w:val="7580D7C6"/>
    <w:rsid w:val="7658D8F4"/>
    <w:rsid w:val="7978108D"/>
    <w:rsid w:val="7D7E1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D9E59"/>
  <w15:docId w15:val="{BF3A05D6-39EC-4236-9BE2-887F4A27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5"/>
      <w:ind w:left="977" w:right="977"/>
      <w:jc w:val="center"/>
      <w:outlineLvl w:val="0"/>
    </w:pPr>
    <w:rPr>
      <w:b/>
      <w:bCs/>
      <w:sz w:val="48"/>
      <w:szCs w:val="48"/>
    </w:rPr>
  </w:style>
  <w:style w:type="paragraph" w:styleId="Heading2">
    <w:name w:val="heading 2"/>
    <w:basedOn w:val="Normal"/>
    <w:uiPriority w:val="1"/>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60" w:right="116" w:hanging="54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66D4"/>
    <w:pPr>
      <w:tabs>
        <w:tab w:val="center" w:pos="4513"/>
        <w:tab w:val="right" w:pos="9026"/>
      </w:tabs>
    </w:pPr>
  </w:style>
  <w:style w:type="character" w:customStyle="1" w:styleId="HeaderChar">
    <w:name w:val="Header Char"/>
    <w:basedOn w:val="DefaultParagraphFont"/>
    <w:link w:val="Header"/>
    <w:uiPriority w:val="99"/>
    <w:rsid w:val="00CE66D4"/>
    <w:rPr>
      <w:rFonts w:ascii="Arial" w:eastAsia="Arial" w:hAnsi="Arial" w:cs="Arial"/>
    </w:rPr>
  </w:style>
  <w:style w:type="paragraph" w:styleId="Footer">
    <w:name w:val="footer"/>
    <w:basedOn w:val="Normal"/>
    <w:link w:val="FooterChar"/>
    <w:uiPriority w:val="99"/>
    <w:unhideWhenUsed/>
    <w:rsid w:val="00CE66D4"/>
    <w:pPr>
      <w:tabs>
        <w:tab w:val="center" w:pos="4513"/>
        <w:tab w:val="right" w:pos="9026"/>
      </w:tabs>
    </w:pPr>
  </w:style>
  <w:style w:type="character" w:customStyle="1" w:styleId="FooterChar">
    <w:name w:val="Footer Char"/>
    <w:basedOn w:val="DefaultParagraphFont"/>
    <w:link w:val="Footer"/>
    <w:uiPriority w:val="99"/>
    <w:rsid w:val="00CE66D4"/>
    <w:rPr>
      <w:rFonts w:ascii="Arial" w:eastAsia="Arial" w:hAnsi="Arial" w:cs="Arial"/>
    </w:rPr>
  </w:style>
  <w:style w:type="paragraph" w:styleId="BalloonText">
    <w:name w:val="Balloon Text"/>
    <w:basedOn w:val="Normal"/>
    <w:link w:val="BalloonTextChar"/>
    <w:uiPriority w:val="99"/>
    <w:semiHidden/>
    <w:unhideWhenUsed/>
    <w:rsid w:val="00B516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62E"/>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22BEF59A2C124C90515FC7468BB176" ma:contentTypeVersion="4" ma:contentTypeDescription="Create a new document." ma:contentTypeScope="" ma:versionID="3bd511de372cac2b39ded4fde2045aca">
  <xsd:schema xmlns:xsd="http://www.w3.org/2001/XMLSchema" xmlns:xs="http://www.w3.org/2001/XMLSchema" xmlns:p="http://schemas.microsoft.com/office/2006/metadata/properties" xmlns:ns2="986566b0-ee2f-4009-a373-0495ba43568c" targetNamespace="http://schemas.microsoft.com/office/2006/metadata/properties" ma:root="true" ma:fieldsID="cfe11fc513c030c661168a12fd211df9" ns2:_="">
    <xsd:import namespace="986566b0-ee2f-4009-a373-0495ba4356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566b0-ee2f-4009-a373-0495ba435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986566b0-ee2f-4009-a373-0495ba43568c">Changes made JHa</NOTES>
  </documentManagement>
</p:properties>
</file>

<file path=customXml/itemProps1.xml><?xml version="1.0" encoding="utf-8"?>
<ds:datastoreItem xmlns:ds="http://schemas.openxmlformats.org/officeDocument/2006/customXml" ds:itemID="{778746E4-87E2-4CCD-BDE9-436B592C51EC}">
  <ds:schemaRefs>
    <ds:schemaRef ds:uri="http://schemas.microsoft.com/sharepoint/v3/contenttype/forms"/>
  </ds:schemaRefs>
</ds:datastoreItem>
</file>

<file path=customXml/itemProps2.xml><?xml version="1.0" encoding="utf-8"?>
<ds:datastoreItem xmlns:ds="http://schemas.openxmlformats.org/officeDocument/2006/customXml" ds:itemID="{4D796914-6AF6-4885-8EE2-20FFF084F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566b0-ee2f-4009-a373-0495ba435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ECF039-101D-4935-BC0C-45B8A721408F}">
  <ds:schemaRefs>
    <ds:schemaRef ds:uri="http://schemas.microsoft.com/office/2006/metadata/properties"/>
    <ds:schemaRef ds:uri="http://schemas.microsoft.com/office/infopath/2007/PartnerControls"/>
    <ds:schemaRef ds:uri="986566b0-ee2f-4009-a373-0495ba43568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505</Words>
  <Characters>2939</Characters>
  <Application>Microsoft Office Word</Application>
  <DocSecurity>0</DocSecurity>
  <Lines>98</Lines>
  <Paragraphs>18</Paragraphs>
  <ScaleCrop>false</ScaleCrop>
  <Company>Cardiff Met</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02_03_LEARNING_OUTCOMES_AND_ASSESSMENT_CRITERIA_ GUIDANCE_NOTE.doc</dc:title>
  <dc:creator>PHarris</dc:creator>
  <cp:lastModifiedBy>Wildsmith, Duncan</cp:lastModifiedBy>
  <cp:revision>24</cp:revision>
  <dcterms:created xsi:type="dcterms:W3CDTF">2026-01-28T12:00:00Z</dcterms:created>
  <dcterms:modified xsi:type="dcterms:W3CDTF">2026-04-01T10:25:00Z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Creator">
    <vt:lpwstr>Microsoft® Word 2016</vt:lpwstr>
  </property>
  <property fmtid="{D5CDD505-2E9C-101B-9397-08002B2CF9AE}" pid="4" name="LastSaved">
    <vt:filetime>2019-08-15T00:00:00Z</vt:filetime>
  </property>
  <property fmtid="{D5CDD505-2E9C-101B-9397-08002B2CF9AE}" pid="5" name="ContentTypeId">
    <vt:lpwstr>0x010100F222BEF59A2C124C90515FC7468BB176</vt:lpwstr>
  </property>
</Properties>
</file>