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51C" w14:textId="77777777" w:rsidR="00E5227B" w:rsidRDefault="00E5227B">
      <w:pPr>
        <w:pStyle w:val="BodyText"/>
        <w:rPr>
          <w:rFonts w:ascii="Times New Roman"/>
          <w:sz w:val="20"/>
        </w:rPr>
      </w:pPr>
    </w:p>
    <w:p w14:paraId="024F1FCB" w14:textId="77777777" w:rsidR="00E5227B" w:rsidRDefault="00E5227B">
      <w:pPr>
        <w:pStyle w:val="BodyText"/>
        <w:rPr>
          <w:rFonts w:ascii="Times New Roman"/>
          <w:sz w:val="20"/>
        </w:rPr>
      </w:pPr>
    </w:p>
    <w:p w14:paraId="30836033" w14:textId="77777777" w:rsidR="00E5227B" w:rsidRDefault="00E5227B">
      <w:pPr>
        <w:pStyle w:val="BodyText"/>
        <w:rPr>
          <w:rFonts w:ascii="Times New Roman"/>
          <w:sz w:val="20"/>
        </w:rPr>
      </w:pPr>
    </w:p>
    <w:p w14:paraId="3B0E59E0" w14:textId="77777777" w:rsidR="00E5227B" w:rsidRDefault="00E5227B">
      <w:pPr>
        <w:pStyle w:val="BodyText"/>
        <w:rPr>
          <w:rFonts w:ascii="Times New Roman"/>
          <w:sz w:val="20"/>
        </w:rPr>
      </w:pPr>
    </w:p>
    <w:p w14:paraId="309AAC96" w14:textId="77777777" w:rsidR="00E5227B" w:rsidRDefault="00E5227B">
      <w:pPr>
        <w:pStyle w:val="BodyText"/>
        <w:rPr>
          <w:rFonts w:ascii="Times New Roman"/>
          <w:sz w:val="20"/>
        </w:rPr>
      </w:pPr>
    </w:p>
    <w:p w14:paraId="38DBB189" w14:textId="77777777" w:rsidR="00E5227B" w:rsidRDefault="00E5227B">
      <w:pPr>
        <w:pStyle w:val="BodyText"/>
        <w:rPr>
          <w:rFonts w:ascii="Times New Roman"/>
          <w:sz w:val="20"/>
        </w:rPr>
      </w:pPr>
    </w:p>
    <w:p w14:paraId="5F36B3B4" w14:textId="77777777" w:rsidR="00E5227B" w:rsidRDefault="00E5227B">
      <w:pPr>
        <w:pStyle w:val="BodyText"/>
        <w:rPr>
          <w:rFonts w:ascii="Times New Roman"/>
          <w:sz w:val="20"/>
        </w:rPr>
      </w:pPr>
    </w:p>
    <w:p w14:paraId="5098DF8D" w14:textId="77777777" w:rsidR="00E5227B" w:rsidRDefault="00E5227B">
      <w:pPr>
        <w:pStyle w:val="BodyText"/>
        <w:rPr>
          <w:rFonts w:ascii="Times New Roman"/>
          <w:sz w:val="20"/>
        </w:rPr>
      </w:pPr>
    </w:p>
    <w:p w14:paraId="13C4F1ED" w14:textId="77777777" w:rsidR="00E5227B" w:rsidRDefault="00E5227B">
      <w:pPr>
        <w:pStyle w:val="BodyText"/>
        <w:rPr>
          <w:rFonts w:ascii="Times New Roman"/>
          <w:sz w:val="20"/>
        </w:rPr>
      </w:pPr>
    </w:p>
    <w:p w14:paraId="0581D270" w14:textId="77777777" w:rsidR="00E5227B" w:rsidRDefault="00E5227B">
      <w:pPr>
        <w:pStyle w:val="BodyText"/>
        <w:rPr>
          <w:rFonts w:ascii="Times New Roman"/>
          <w:sz w:val="20"/>
        </w:rPr>
      </w:pPr>
    </w:p>
    <w:p w14:paraId="6072D526" w14:textId="77777777" w:rsidR="00E5227B" w:rsidRDefault="00E5227B">
      <w:pPr>
        <w:pStyle w:val="BodyText"/>
        <w:rPr>
          <w:rFonts w:ascii="Times New Roman"/>
          <w:sz w:val="20"/>
        </w:rPr>
      </w:pPr>
    </w:p>
    <w:p w14:paraId="3067F111" w14:textId="77777777" w:rsidR="00E5227B" w:rsidRDefault="00E5227B">
      <w:pPr>
        <w:pStyle w:val="BodyText"/>
        <w:rPr>
          <w:rFonts w:ascii="Times New Roman"/>
          <w:sz w:val="20"/>
        </w:rPr>
      </w:pPr>
    </w:p>
    <w:p w14:paraId="1E97DFFC" w14:textId="77777777" w:rsidR="00E5227B" w:rsidRDefault="00E5227B">
      <w:pPr>
        <w:pStyle w:val="BodyText"/>
        <w:rPr>
          <w:rFonts w:ascii="Times New Roman"/>
          <w:sz w:val="20"/>
        </w:rPr>
      </w:pPr>
    </w:p>
    <w:p w14:paraId="437892F9" w14:textId="77777777" w:rsidR="00E5227B" w:rsidRDefault="00E5227B">
      <w:pPr>
        <w:pStyle w:val="BodyText"/>
        <w:rPr>
          <w:rFonts w:ascii="Times New Roman"/>
          <w:sz w:val="20"/>
        </w:rPr>
      </w:pPr>
    </w:p>
    <w:p w14:paraId="03AB3ECA" w14:textId="77777777" w:rsidR="00E5227B" w:rsidRDefault="00E5227B">
      <w:pPr>
        <w:pStyle w:val="BodyText"/>
        <w:rPr>
          <w:rFonts w:ascii="Times New Roman"/>
          <w:sz w:val="20"/>
        </w:rPr>
      </w:pPr>
    </w:p>
    <w:p w14:paraId="5B94872D" w14:textId="77777777" w:rsidR="00E5227B" w:rsidRDefault="00E5227B">
      <w:pPr>
        <w:pStyle w:val="BodyText"/>
        <w:rPr>
          <w:rFonts w:ascii="Times New Roman"/>
          <w:sz w:val="20"/>
        </w:rPr>
      </w:pPr>
    </w:p>
    <w:p w14:paraId="6C12A13C" w14:textId="77777777" w:rsidR="00E5227B" w:rsidRDefault="00E5227B">
      <w:pPr>
        <w:pStyle w:val="BodyText"/>
        <w:rPr>
          <w:rFonts w:ascii="Times New Roman"/>
          <w:sz w:val="20"/>
        </w:rPr>
      </w:pPr>
    </w:p>
    <w:p w14:paraId="21C07D79" w14:textId="77777777" w:rsidR="00E5227B" w:rsidRDefault="00E5227B">
      <w:pPr>
        <w:pStyle w:val="BodyText"/>
        <w:rPr>
          <w:rFonts w:ascii="Times New Roman"/>
          <w:sz w:val="20"/>
        </w:rPr>
      </w:pPr>
    </w:p>
    <w:p w14:paraId="709A5C67" w14:textId="77777777" w:rsidR="00E5227B" w:rsidRDefault="00E5227B">
      <w:pPr>
        <w:pStyle w:val="BodyText"/>
        <w:rPr>
          <w:rFonts w:ascii="Times New Roman"/>
          <w:sz w:val="20"/>
        </w:rPr>
      </w:pPr>
    </w:p>
    <w:p w14:paraId="6CD7C643" w14:textId="77777777" w:rsidR="00E5227B" w:rsidRDefault="00E5227B">
      <w:pPr>
        <w:pStyle w:val="BodyText"/>
        <w:rPr>
          <w:rFonts w:ascii="Times New Roman"/>
          <w:sz w:val="20"/>
        </w:rPr>
      </w:pPr>
    </w:p>
    <w:p w14:paraId="2CDDF971" w14:textId="77777777" w:rsidR="00E5227B" w:rsidRDefault="00E5227B">
      <w:pPr>
        <w:pStyle w:val="BodyText"/>
        <w:rPr>
          <w:rFonts w:ascii="Times New Roman"/>
          <w:sz w:val="20"/>
        </w:rPr>
      </w:pPr>
    </w:p>
    <w:p w14:paraId="5AB73CB1" w14:textId="77777777" w:rsidR="00E5227B" w:rsidRDefault="00E5227B">
      <w:pPr>
        <w:pStyle w:val="BodyText"/>
        <w:rPr>
          <w:rFonts w:ascii="Times New Roman"/>
          <w:sz w:val="20"/>
        </w:rPr>
      </w:pPr>
    </w:p>
    <w:p w14:paraId="42A02792" w14:textId="77777777" w:rsidR="00E5227B" w:rsidRDefault="00E5227B">
      <w:pPr>
        <w:pStyle w:val="BodyText"/>
        <w:rPr>
          <w:rFonts w:ascii="Times New Roman"/>
          <w:sz w:val="20"/>
        </w:rPr>
      </w:pPr>
    </w:p>
    <w:p w14:paraId="151ADAA4" w14:textId="77777777" w:rsidR="00E5227B" w:rsidRDefault="00E5227B">
      <w:pPr>
        <w:pStyle w:val="BodyText"/>
        <w:rPr>
          <w:rFonts w:ascii="Times New Roman"/>
          <w:sz w:val="20"/>
        </w:rPr>
      </w:pPr>
    </w:p>
    <w:p w14:paraId="42428DCF" w14:textId="77777777" w:rsidR="00E5227B" w:rsidRDefault="00E5227B">
      <w:pPr>
        <w:pStyle w:val="BodyText"/>
        <w:spacing w:before="10"/>
        <w:rPr>
          <w:rFonts w:ascii="Times New Roman"/>
          <w:sz w:val="26"/>
        </w:rPr>
      </w:pPr>
    </w:p>
    <w:p w14:paraId="0E471BF0" w14:textId="77777777" w:rsidR="00E5227B" w:rsidRDefault="00E914F4">
      <w:pPr>
        <w:pStyle w:val="Heading1"/>
        <w:ind w:right="786"/>
      </w:pPr>
      <w:r>
        <w:t>09.1</w:t>
      </w:r>
    </w:p>
    <w:p w14:paraId="59078294" w14:textId="77777777" w:rsidR="00E5227B" w:rsidRDefault="00E914F4">
      <w:pPr>
        <w:spacing w:before="239"/>
        <w:ind w:left="340" w:right="335" w:hanging="3"/>
        <w:jc w:val="center"/>
        <w:rPr>
          <w:b/>
          <w:sz w:val="48"/>
        </w:rPr>
      </w:pPr>
      <w:r>
        <w:rPr>
          <w:b/>
          <w:sz w:val="48"/>
        </w:rPr>
        <w:t>CARDIFF METROPOLITAN UNIVERSITY POLICY STATEMENT ON</w:t>
      </w:r>
    </w:p>
    <w:p w14:paraId="1029510B" w14:textId="77777777" w:rsidR="00E5227B" w:rsidRDefault="00E914F4" w:rsidP="00DE35AA">
      <w:pPr>
        <w:spacing w:before="240"/>
        <w:ind w:left="788" w:right="788"/>
        <w:jc w:val="center"/>
        <w:rPr>
          <w:b/>
          <w:sz w:val="48"/>
        </w:rPr>
      </w:pPr>
      <w:r>
        <w:rPr>
          <w:b/>
          <w:sz w:val="48"/>
        </w:rPr>
        <w:t>COLLABORATIVE PROVISION</w:t>
      </w:r>
    </w:p>
    <w:p w14:paraId="598D7900" w14:textId="77777777" w:rsidR="00E5227B" w:rsidRDefault="00E5227B">
      <w:pPr>
        <w:jc w:val="center"/>
        <w:rPr>
          <w:sz w:val="48"/>
        </w:rPr>
        <w:sectPr w:rsidR="00E5227B" w:rsidSect="00507722">
          <w:footerReference w:type="default" r:id="rId10"/>
          <w:type w:val="continuous"/>
          <w:pgSz w:w="11910" w:h="16840"/>
          <w:pgMar w:top="1580" w:right="1680" w:bottom="1260" w:left="1680" w:header="720" w:footer="1078" w:gutter="0"/>
          <w:pgNumType w:start="1"/>
          <w:cols w:space="720"/>
        </w:sectPr>
      </w:pPr>
    </w:p>
    <w:p w14:paraId="2367D86F" w14:textId="77777777" w:rsidR="00E5227B" w:rsidRDefault="00E914F4">
      <w:pPr>
        <w:pStyle w:val="Heading2"/>
        <w:spacing w:before="81"/>
      </w:pPr>
      <w:r>
        <w:lastRenderedPageBreak/>
        <w:t>CARDIFF METROPOLITAN UNIVERSITY</w:t>
      </w:r>
    </w:p>
    <w:p w14:paraId="61E6CF39" w14:textId="77777777" w:rsidR="00E5227B" w:rsidRDefault="00E5227B">
      <w:pPr>
        <w:pStyle w:val="BodyText"/>
        <w:rPr>
          <w:b/>
        </w:rPr>
      </w:pPr>
    </w:p>
    <w:p w14:paraId="6EA8A0AF" w14:textId="77777777" w:rsidR="00E5227B" w:rsidRDefault="00E914F4">
      <w:pPr>
        <w:ind w:left="120"/>
        <w:rPr>
          <w:b/>
          <w:sz w:val="24"/>
        </w:rPr>
      </w:pPr>
      <w:r>
        <w:rPr>
          <w:b/>
          <w:sz w:val="24"/>
        </w:rPr>
        <w:t>POLICY STATEMENT ON COLLABORATIVE PROVISION</w:t>
      </w:r>
    </w:p>
    <w:p w14:paraId="562957C1" w14:textId="77777777" w:rsidR="00E5227B" w:rsidRDefault="00E5227B">
      <w:pPr>
        <w:pStyle w:val="BodyText"/>
        <w:spacing w:before="10"/>
        <w:rPr>
          <w:b/>
          <w:sz w:val="23"/>
        </w:rPr>
      </w:pPr>
    </w:p>
    <w:p w14:paraId="0B185C76" w14:textId="77777777" w:rsidR="00E5227B" w:rsidRDefault="00E914F4">
      <w:pPr>
        <w:pStyle w:val="ListParagraph"/>
        <w:numPr>
          <w:ilvl w:val="0"/>
          <w:numId w:val="1"/>
        </w:numPr>
        <w:tabs>
          <w:tab w:val="left" w:pos="841"/>
        </w:tabs>
        <w:ind w:right="221"/>
        <w:rPr>
          <w:sz w:val="24"/>
        </w:rPr>
      </w:pPr>
      <w:r>
        <w:rPr>
          <w:sz w:val="24"/>
        </w:rPr>
        <w:t xml:space="preserve">In its advice and guidance on ‘Partnerships’ accompanying the Quality Code, the Quality Assurance Agency (QAA) defines partnerships as ‘an arrangement between two or more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to deliver aspects of teaching, learning, assessment and student support. It refers to collaborative arrangements involving students and/or awards which include those involving guaranteed progression and sharing of services.’</w:t>
      </w:r>
    </w:p>
    <w:p w14:paraId="409FCA13" w14:textId="77777777" w:rsidR="00E5227B" w:rsidRDefault="00E5227B">
      <w:pPr>
        <w:pStyle w:val="BodyText"/>
        <w:spacing w:before="10"/>
        <w:rPr>
          <w:sz w:val="23"/>
        </w:rPr>
      </w:pPr>
    </w:p>
    <w:p w14:paraId="4D17FF03" w14:textId="14BC71C2" w:rsidR="00E5227B" w:rsidRDefault="00E914F4">
      <w:pPr>
        <w:pStyle w:val="BodyText"/>
        <w:spacing w:before="1"/>
        <w:ind w:left="840" w:right="116"/>
        <w:jc w:val="both"/>
      </w:pPr>
      <w:r>
        <w:t xml:space="preserve">Within this broad scope the University defines its </w:t>
      </w:r>
      <w:r w:rsidR="00EA6B7D">
        <w:t>collaborative provision</w:t>
      </w:r>
      <w:r>
        <w:t xml:space="preserve"> activity as falling within one of the following</w:t>
      </w:r>
      <w:r>
        <w:rPr>
          <w:spacing w:val="-7"/>
        </w:rPr>
        <w:t xml:space="preserve"> </w:t>
      </w:r>
      <w:r>
        <w:t>models:</w:t>
      </w:r>
    </w:p>
    <w:p w14:paraId="2C9EF434" w14:textId="77777777" w:rsidR="00E5227B" w:rsidRDefault="00E5227B">
      <w:pPr>
        <w:pStyle w:val="BodyText"/>
      </w:pPr>
    </w:p>
    <w:p w14:paraId="690B27C2" w14:textId="77777777" w:rsidR="00E5227B" w:rsidRDefault="00E914F4">
      <w:pPr>
        <w:pStyle w:val="BodyText"/>
        <w:ind w:left="840" w:right="115"/>
        <w:jc w:val="both"/>
      </w:pPr>
      <w:r>
        <w:rPr>
          <w:b/>
        </w:rPr>
        <w:t xml:space="preserve">franchised programme </w:t>
      </w:r>
      <w:r>
        <w:t xml:space="preserve">- a programme initially developed and validated for delivery at the University and subsequently delivered at a partner institution. Franchised programmes may be allowed limited, approved modifications deemed by the University to reflect the local context of the collaborating </w:t>
      </w:r>
      <w:proofErr w:type="gramStart"/>
      <w:r>
        <w:t>institution;</w:t>
      </w:r>
      <w:proofErr w:type="gramEnd"/>
    </w:p>
    <w:p w14:paraId="6C013882" w14:textId="77777777" w:rsidR="00E5227B" w:rsidRDefault="00E5227B">
      <w:pPr>
        <w:pStyle w:val="BodyText"/>
        <w:spacing w:before="11"/>
        <w:rPr>
          <w:sz w:val="23"/>
        </w:rPr>
      </w:pPr>
    </w:p>
    <w:p w14:paraId="05E1B6CF" w14:textId="77777777" w:rsidR="00E5227B" w:rsidRDefault="00E914F4">
      <w:pPr>
        <w:pStyle w:val="BodyText"/>
        <w:ind w:left="840" w:right="117"/>
        <w:jc w:val="both"/>
      </w:pPr>
      <w:r>
        <w:rPr>
          <w:b/>
        </w:rPr>
        <w:t xml:space="preserve">validated programme - </w:t>
      </w:r>
      <w:r>
        <w:t xml:space="preserve">a programme developed by the collaborating institution and approved by the University to be delivered in that </w:t>
      </w:r>
      <w:proofErr w:type="gramStart"/>
      <w:r>
        <w:t>institution;</w:t>
      </w:r>
      <w:proofErr w:type="gramEnd"/>
    </w:p>
    <w:p w14:paraId="3F2EE61C" w14:textId="77777777" w:rsidR="00E5227B" w:rsidRDefault="00E5227B">
      <w:pPr>
        <w:pStyle w:val="BodyText"/>
        <w:spacing w:before="10"/>
        <w:rPr>
          <w:sz w:val="23"/>
        </w:rPr>
      </w:pPr>
    </w:p>
    <w:p w14:paraId="053EA1E2" w14:textId="77777777" w:rsidR="00E5227B" w:rsidRDefault="00E914F4">
      <w:pPr>
        <w:pStyle w:val="BodyText"/>
        <w:ind w:left="840" w:right="120"/>
        <w:jc w:val="both"/>
      </w:pPr>
      <w:r>
        <w:t xml:space="preserve">In </w:t>
      </w:r>
      <w:proofErr w:type="gramStart"/>
      <w:r>
        <w:t>both of the above</w:t>
      </w:r>
      <w:proofErr w:type="gramEnd"/>
      <w:r>
        <w:t>, delivery of the programme is normally by staff of the collaborating institution, though there may be some delivery by University staff in certain cases.</w:t>
      </w:r>
    </w:p>
    <w:p w14:paraId="4ED5092F" w14:textId="77777777" w:rsidR="00E5227B" w:rsidRDefault="00E5227B">
      <w:pPr>
        <w:pStyle w:val="BodyText"/>
        <w:spacing w:before="11"/>
        <w:rPr>
          <w:sz w:val="23"/>
        </w:rPr>
      </w:pPr>
    </w:p>
    <w:p w14:paraId="5DCE1EBF" w14:textId="31277DA8" w:rsidR="00E5227B" w:rsidRDefault="00E914F4">
      <w:pPr>
        <w:pStyle w:val="BodyText"/>
        <w:ind w:left="840" w:right="116"/>
        <w:jc w:val="both"/>
      </w:pPr>
      <w:r>
        <w:rPr>
          <w:b/>
        </w:rPr>
        <w:t>outreach franchise</w:t>
      </w:r>
      <w:r w:rsidR="002748C5">
        <w:rPr>
          <w:b/>
        </w:rPr>
        <w:t>/flying faculty</w:t>
      </w:r>
      <w:r>
        <w:rPr>
          <w:b/>
        </w:rPr>
        <w:t xml:space="preserve"> - </w:t>
      </w:r>
      <w:r>
        <w:t>a programme developed and validated at the University delivered at an institution other than the University by staff of the University</w:t>
      </w:r>
      <w:r w:rsidR="00706FEB">
        <w:t>,</w:t>
      </w:r>
      <w:r>
        <w:t xml:space="preserve"> or a combination of Cardiff Metropolitan University and partner staff.</w:t>
      </w:r>
    </w:p>
    <w:p w14:paraId="477E7AF3" w14:textId="77777777" w:rsidR="00E5227B" w:rsidRDefault="00E5227B">
      <w:pPr>
        <w:pStyle w:val="BodyText"/>
        <w:spacing w:before="11"/>
        <w:rPr>
          <w:sz w:val="23"/>
        </w:rPr>
      </w:pPr>
    </w:p>
    <w:p w14:paraId="5A3F95E4" w14:textId="77777777" w:rsidR="00E5227B" w:rsidRDefault="00E914F4">
      <w:pPr>
        <w:pStyle w:val="ListParagraph"/>
        <w:numPr>
          <w:ilvl w:val="0"/>
          <w:numId w:val="1"/>
        </w:numPr>
        <w:tabs>
          <w:tab w:val="left" w:pos="830"/>
        </w:tabs>
        <w:ind w:right="120"/>
        <w:rPr>
          <w:sz w:val="24"/>
        </w:rPr>
      </w:pPr>
      <w:r>
        <w:rPr>
          <w:sz w:val="24"/>
        </w:rPr>
        <w:t xml:space="preserve">The University will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and will actively seek Collaborative Provision arrangements where it can ascertain</w:t>
      </w:r>
      <w:r>
        <w:rPr>
          <w:spacing w:val="-7"/>
          <w:sz w:val="24"/>
        </w:rPr>
        <w:t xml:space="preserve"> </w:t>
      </w:r>
      <w:r>
        <w:rPr>
          <w:sz w:val="24"/>
        </w:rPr>
        <w:t>that:</w:t>
      </w:r>
    </w:p>
    <w:p w14:paraId="54662EF5" w14:textId="77777777" w:rsidR="00E5227B" w:rsidRDefault="00E5227B">
      <w:pPr>
        <w:pStyle w:val="BodyText"/>
        <w:spacing w:before="10"/>
        <w:rPr>
          <w:sz w:val="23"/>
        </w:rPr>
      </w:pPr>
    </w:p>
    <w:p w14:paraId="6F2452C1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right="120" w:hanging="512"/>
        <w:rPr>
          <w:sz w:val="24"/>
        </w:rPr>
      </w:pPr>
      <w:r>
        <w:rPr>
          <w:sz w:val="24"/>
        </w:rPr>
        <w:t>there will be benefits to the students and community in which the collaboration 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proposed;</w:t>
      </w:r>
      <w:proofErr w:type="gramEnd"/>
    </w:p>
    <w:p w14:paraId="5F87A994" w14:textId="77777777" w:rsidR="00E5227B" w:rsidRDefault="00E5227B">
      <w:pPr>
        <w:pStyle w:val="BodyText"/>
        <w:spacing w:before="10"/>
        <w:rPr>
          <w:sz w:val="23"/>
        </w:rPr>
      </w:pPr>
    </w:p>
    <w:p w14:paraId="72816928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right="0" w:hanging="512"/>
        <w:rPr>
          <w:sz w:val="24"/>
        </w:rPr>
      </w:pPr>
      <w:r>
        <w:rPr>
          <w:sz w:val="24"/>
        </w:rPr>
        <w:t>there will be benefits to 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University;</w:t>
      </w:r>
      <w:proofErr w:type="gramEnd"/>
    </w:p>
    <w:p w14:paraId="69AC0DED" w14:textId="77777777" w:rsidR="00E5227B" w:rsidRDefault="00E5227B">
      <w:pPr>
        <w:pStyle w:val="BodyText"/>
        <w:spacing w:before="8"/>
        <w:rPr>
          <w:sz w:val="23"/>
        </w:rPr>
      </w:pPr>
    </w:p>
    <w:p w14:paraId="089F3A9B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1"/>
        <w:ind w:right="121" w:hanging="512"/>
        <w:rPr>
          <w:sz w:val="24"/>
        </w:rPr>
      </w:pPr>
      <w:r>
        <w:rPr>
          <w:sz w:val="24"/>
        </w:rPr>
        <w:t>the quality and standards of the provision can be assured at an appropriate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level;</w:t>
      </w:r>
      <w:proofErr w:type="gramEnd"/>
    </w:p>
    <w:p w14:paraId="5F98094C" w14:textId="77777777" w:rsidR="00E5227B" w:rsidRDefault="00E5227B">
      <w:pPr>
        <w:pStyle w:val="BodyText"/>
      </w:pPr>
    </w:p>
    <w:p w14:paraId="66A9A344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ind w:right="121" w:hanging="512"/>
        <w:rPr>
          <w:sz w:val="24"/>
        </w:rPr>
      </w:pPr>
      <w:r>
        <w:rPr>
          <w:sz w:val="24"/>
        </w:rPr>
        <w:t>there are no adverse legal, moral or ethical ramifications to the partnership.</w:t>
      </w:r>
    </w:p>
    <w:p w14:paraId="14E94ECF" w14:textId="77777777" w:rsidR="00E5227B" w:rsidRDefault="00E5227B">
      <w:pPr>
        <w:pStyle w:val="BodyText"/>
        <w:spacing w:before="11"/>
        <w:rPr>
          <w:sz w:val="23"/>
        </w:rPr>
      </w:pPr>
    </w:p>
    <w:p w14:paraId="55810C47" w14:textId="2A5BF858" w:rsidR="00E5227B" w:rsidRDefault="00E914F4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ind w:left="1254" w:right="0" w:hanging="774"/>
        <w:rPr>
          <w:sz w:val="24"/>
        </w:rPr>
      </w:pPr>
      <w:r>
        <w:rPr>
          <w:sz w:val="24"/>
        </w:rPr>
        <w:t>Outside Wales the above may be taken to mean</w:t>
      </w:r>
      <w:r>
        <w:rPr>
          <w:spacing w:val="-3"/>
          <w:sz w:val="24"/>
        </w:rPr>
        <w:t xml:space="preserve"> </w:t>
      </w:r>
      <w:r>
        <w:rPr>
          <w:sz w:val="24"/>
        </w:rPr>
        <w:t>that:</w:t>
      </w:r>
    </w:p>
    <w:p w14:paraId="2036A67E" w14:textId="77777777" w:rsidR="00E5227B" w:rsidRDefault="00E5227B">
      <w:pPr>
        <w:pStyle w:val="BodyText"/>
        <w:spacing w:before="11"/>
        <w:rPr>
          <w:sz w:val="23"/>
        </w:rPr>
      </w:pPr>
    </w:p>
    <w:p w14:paraId="6B9DF920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1"/>
        </w:tabs>
        <w:ind w:hanging="512"/>
        <w:jc w:val="both"/>
        <w:rPr>
          <w:sz w:val="24"/>
        </w:rPr>
      </w:pPr>
      <w:r>
        <w:rPr>
          <w:sz w:val="24"/>
        </w:rPr>
        <w:t xml:space="preserve">The University will in some way benefit financially (by, for example, </w:t>
      </w:r>
      <w:r>
        <w:rPr>
          <w:sz w:val="24"/>
        </w:rPr>
        <w:lastRenderedPageBreak/>
        <w:t xml:space="preserve">fees acquired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student progression to Cardiff Metropolitan University, the possibility of European or other grant acquisition) and/or reputation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enhancement;</w:t>
      </w:r>
      <w:proofErr w:type="gramEnd"/>
    </w:p>
    <w:p w14:paraId="266B3A29" w14:textId="77777777" w:rsidR="00E5227B" w:rsidRDefault="00E5227B">
      <w:pPr>
        <w:pStyle w:val="BodyText"/>
        <w:spacing w:before="10"/>
        <w:rPr>
          <w:sz w:val="23"/>
        </w:rPr>
      </w:pPr>
    </w:p>
    <w:p w14:paraId="7AA30258" w14:textId="72A74E84" w:rsidR="00E5227B" w:rsidRDefault="00E914F4">
      <w:pPr>
        <w:pStyle w:val="ListParagraph"/>
        <w:numPr>
          <w:ilvl w:val="1"/>
          <w:numId w:val="1"/>
        </w:numPr>
        <w:tabs>
          <w:tab w:val="left" w:pos="1201"/>
        </w:tabs>
        <w:ind w:hanging="512"/>
        <w:jc w:val="both"/>
        <w:rPr>
          <w:sz w:val="24"/>
        </w:rPr>
      </w:pPr>
      <w:r>
        <w:rPr>
          <w:sz w:val="24"/>
        </w:rPr>
        <w:t xml:space="preserve">that the partner institution is appropriately placed, assuming proper counselling and guidance from the University as necessary, to deliver the programme(s) to the University’s requirements; this will normally mean that the University will not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such provision where, for example, the language of delivery</w:t>
      </w:r>
      <w:r w:rsidR="00F373C1">
        <w:rPr>
          <w:sz w:val="24"/>
        </w:rPr>
        <w:t xml:space="preserve"> is in</w:t>
      </w:r>
      <w:r w:rsidR="0065330F">
        <w:rPr>
          <w:sz w:val="24"/>
        </w:rPr>
        <w:t xml:space="preserve"> a language other than English or </w:t>
      </w:r>
      <w:proofErr w:type="gramStart"/>
      <w:r w:rsidR="0065330F">
        <w:rPr>
          <w:sz w:val="24"/>
        </w:rPr>
        <w:t>Welsh</w:t>
      </w:r>
      <w:r>
        <w:rPr>
          <w:sz w:val="24"/>
        </w:rPr>
        <w:t>;</w:t>
      </w:r>
      <w:proofErr w:type="gramEnd"/>
    </w:p>
    <w:p w14:paraId="5A9DE6CC" w14:textId="77777777" w:rsidR="00E5227B" w:rsidRDefault="00E5227B">
      <w:pPr>
        <w:pStyle w:val="BodyText"/>
        <w:spacing w:before="10"/>
        <w:rPr>
          <w:sz w:val="23"/>
        </w:rPr>
      </w:pPr>
    </w:p>
    <w:p w14:paraId="76AC119F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1"/>
        </w:tabs>
        <w:ind w:right="120" w:hanging="512"/>
        <w:jc w:val="both"/>
        <w:rPr>
          <w:sz w:val="24"/>
        </w:rPr>
      </w:pPr>
      <w:r>
        <w:rPr>
          <w:sz w:val="24"/>
        </w:rPr>
        <w:t>there are no impediments with regards to the national or regional authorities concerned, or with any UK bodies relevant to such provision, which may prove disreputable to 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University.</w:t>
      </w:r>
    </w:p>
    <w:p w14:paraId="422D0815" w14:textId="77777777" w:rsidR="00E5227B" w:rsidRDefault="00E5227B">
      <w:pPr>
        <w:pStyle w:val="BodyText"/>
        <w:spacing w:before="11"/>
        <w:rPr>
          <w:sz w:val="23"/>
        </w:rPr>
      </w:pPr>
    </w:p>
    <w:p w14:paraId="549BE944" w14:textId="77777777" w:rsidR="00E5227B" w:rsidRDefault="00E914F4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ind w:left="1254" w:right="0" w:hanging="774"/>
        <w:rPr>
          <w:sz w:val="24"/>
        </w:rPr>
      </w:pPr>
      <w:r>
        <w:rPr>
          <w:sz w:val="24"/>
        </w:rPr>
        <w:t>Within Wales, paragraph 2 may be interpreted to mean</w:t>
      </w:r>
      <w:r>
        <w:rPr>
          <w:spacing w:val="-5"/>
          <w:sz w:val="24"/>
        </w:rPr>
        <w:t xml:space="preserve"> </w:t>
      </w:r>
      <w:r>
        <w:rPr>
          <w:sz w:val="24"/>
        </w:rPr>
        <w:t>that:</w:t>
      </w:r>
    </w:p>
    <w:p w14:paraId="7C50B529" w14:textId="77777777" w:rsidR="00E5227B" w:rsidRDefault="00E5227B">
      <w:pPr>
        <w:pStyle w:val="BodyText"/>
        <w:spacing w:before="11"/>
        <w:rPr>
          <w:sz w:val="23"/>
        </w:rPr>
      </w:pPr>
    </w:p>
    <w:p w14:paraId="3F42CF78" w14:textId="57FC88CB" w:rsidR="00E5227B" w:rsidRDefault="00E914F4">
      <w:pPr>
        <w:pStyle w:val="ListParagraph"/>
        <w:numPr>
          <w:ilvl w:val="1"/>
          <w:numId w:val="1"/>
        </w:numPr>
        <w:tabs>
          <w:tab w:val="left" w:pos="1201"/>
        </w:tabs>
        <w:ind w:right="119" w:hanging="510"/>
        <w:jc w:val="both"/>
        <w:rPr>
          <w:sz w:val="24"/>
        </w:rPr>
      </w:pPr>
      <w:r>
        <w:rPr>
          <w:sz w:val="24"/>
        </w:rPr>
        <w:t xml:space="preserve">Cardiff Metropolitan University will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collaborative relationship</w:t>
      </w:r>
      <w:r w:rsidR="009B5AB0">
        <w:rPr>
          <w:sz w:val="24"/>
        </w:rPr>
        <w:t>s</w:t>
      </w:r>
      <w:r>
        <w:rPr>
          <w:sz w:val="24"/>
        </w:rPr>
        <w:t xml:space="preserve"> with partners to encourage access to</w:t>
      </w:r>
      <w:r>
        <w:rPr>
          <w:spacing w:val="-4"/>
          <w:sz w:val="24"/>
        </w:rPr>
        <w:t xml:space="preserve"> </w:t>
      </w:r>
      <w:r w:rsidR="0062601F">
        <w:rPr>
          <w:sz w:val="24"/>
        </w:rPr>
        <w:t>HE: -</w:t>
      </w:r>
    </w:p>
    <w:p w14:paraId="011E05E4" w14:textId="77777777" w:rsidR="00E5227B" w:rsidRDefault="00E5227B">
      <w:pPr>
        <w:pStyle w:val="BodyText"/>
        <w:spacing w:before="11"/>
        <w:rPr>
          <w:sz w:val="23"/>
        </w:rPr>
      </w:pPr>
    </w:p>
    <w:p w14:paraId="77D4A064" w14:textId="77777777" w:rsidR="00E5227B" w:rsidRDefault="00E914F4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ind w:right="394"/>
        <w:rPr>
          <w:sz w:val="24"/>
        </w:rPr>
      </w:pPr>
      <w:r>
        <w:rPr>
          <w:sz w:val="24"/>
        </w:rPr>
        <w:t xml:space="preserve">nationally, in discipline areas where it has </w:t>
      </w:r>
      <w:proofErr w:type="gramStart"/>
      <w:r>
        <w:rPr>
          <w:sz w:val="24"/>
        </w:rPr>
        <w:t>particular strengths</w:t>
      </w:r>
      <w:proofErr w:type="gramEnd"/>
      <w:r>
        <w:rPr>
          <w:sz w:val="24"/>
        </w:rPr>
        <w:t xml:space="preserve"> and/or uniqueness and does not normally, therefore, duplicate the work of other 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331A0EBF" w14:textId="77777777" w:rsidR="00E5227B" w:rsidRDefault="00E5227B">
      <w:pPr>
        <w:pStyle w:val="BodyText"/>
        <w:spacing w:before="11"/>
        <w:rPr>
          <w:sz w:val="23"/>
        </w:rPr>
      </w:pPr>
    </w:p>
    <w:p w14:paraId="09B4827E" w14:textId="77777777" w:rsidR="00E5227B" w:rsidRDefault="00E914F4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ind w:right="489"/>
        <w:rPr>
          <w:sz w:val="24"/>
        </w:rPr>
      </w:pPr>
      <w:r>
        <w:rPr>
          <w:sz w:val="24"/>
        </w:rPr>
        <w:t xml:space="preserve">locally in any discipline </w:t>
      </w:r>
      <w:proofErr w:type="gramStart"/>
      <w:r>
        <w:rPr>
          <w:sz w:val="24"/>
        </w:rPr>
        <w:t>areas</w:t>
      </w:r>
      <w:proofErr w:type="gramEnd"/>
      <w:r>
        <w:rPr>
          <w:sz w:val="24"/>
        </w:rPr>
        <w:t xml:space="preserve"> which it currently encompasses within its portfolio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capability;</w:t>
      </w:r>
      <w:proofErr w:type="gramEnd"/>
    </w:p>
    <w:p w14:paraId="6CFECBBA" w14:textId="77777777" w:rsidR="00E5227B" w:rsidRDefault="00E5227B">
      <w:pPr>
        <w:pStyle w:val="BodyText"/>
        <w:spacing w:before="10"/>
        <w:rPr>
          <w:sz w:val="23"/>
        </w:rPr>
      </w:pPr>
    </w:p>
    <w:p w14:paraId="05DA8201" w14:textId="12E6B645" w:rsidR="00E5227B" w:rsidRDefault="00E914F4">
      <w:pPr>
        <w:pStyle w:val="ListParagraph"/>
        <w:numPr>
          <w:ilvl w:val="1"/>
          <w:numId w:val="1"/>
        </w:numPr>
        <w:tabs>
          <w:tab w:val="left" w:pos="1201"/>
        </w:tabs>
        <w:spacing w:before="1"/>
        <w:ind w:hanging="540"/>
        <w:jc w:val="both"/>
        <w:rPr>
          <w:sz w:val="24"/>
        </w:rPr>
      </w:pPr>
      <w:r>
        <w:rPr>
          <w:sz w:val="24"/>
        </w:rPr>
        <w:t>students from partner institutions will have, and may take, opportunities to progress their education further at the University (or elsewhere)</w:t>
      </w:r>
      <w:r w:rsidR="00292C4C">
        <w:rPr>
          <w:sz w:val="24"/>
        </w:rPr>
        <w:t>,</w:t>
      </w:r>
      <w:r>
        <w:rPr>
          <w:sz w:val="24"/>
        </w:rPr>
        <w:t xml:space="preserve"> and/or the reputation of Cardiff Metropolitan University within Wales will 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enhanced;</w:t>
      </w:r>
      <w:proofErr w:type="gramEnd"/>
    </w:p>
    <w:p w14:paraId="2ABA1557" w14:textId="77777777" w:rsidR="00E5227B" w:rsidRDefault="00E5227B">
      <w:pPr>
        <w:pStyle w:val="BodyText"/>
        <w:spacing w:before="11"/>
        <w:rPr>
          <w:sz w:val="23"/>
        </w:rPr>
      </w:pPr>
    </w:p>
    <w:p w14:paraId="3FD16E31" w14:textId="77777777" w:rsidR="00E5227B" w:rsidRDefault="00E914F4">
      <w:pPr>
        <w:pStyle w:val="ListParagraph"/>
        <w:numPr>
          <w:ilvl w:val="1"/>
          <w:numId w:val="1"/>
        </w:numPr>
        <w:tabs>
          <w:tab w:val="left" w:pos="1201"/>
        </w:tabs>
        <w:ind w:right="120" w:hanging="540"/>
        <w:jc w:val="both"/>
        <w:rPr>
          <w:sz w:val="24"/>
        </w:rPr>
      </w:pPr>
      <w:r>
        <w:rPr>
          <w:sz w:val="24"/>
        </w:rPr>
        <w:t>such provision complies with the policies of the Higher Education Funding Council for Wales or other regional or national governing body.</w:t>
      </w:r>
    </w:p>
    <w:sectPr w:rsidR="00E5227B">
      <w:pgSz w:w="11910" w:h="16840"/>
      <w:pgMar w:top="1340" w:right="1680" w:bottom="1260" w:left="168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B04F" w14:textId="77777777" w:rsidR="009838FF" w:rsidRDefault="009838FF">
      <w:r>
        <w:separator/>
      </w:r>
    </w:p>
  </w:endnote>
  <w:endnote w:type="continuationSeparator" w:id="0">
    <w:p w14:paraId="35DB0235" w14:textId="77777777" w:rsidR="009838FF" w:rsidRDefault="0098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B40D" w14:textId="0FA7CA3A" w:rsidR="00E5227B" w:rsidRDefault="00961C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FEEF5E" wp14:editId="11233B54">
              <wp:simplePos x="0" y="0"/>
              <wp:positionH relativeFrom="page">
                <wp:posOffset>1173480</wp:posOffset>
              </wp:positionH>
              <wp:positionV relativeFrom="page">
                <wp:posOffset>9867900</wp:posOffset>
              </wp:positionV>
              <wp:extent cx="5215255" cy="449580"/>
              <wp:effectExtent l="190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525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E8A47" w14:textId="14D1EF3A" w:rsidR="00E5227B" w:rsidRDefault="00E914F4">
                          <w:pPr>
                            <w:spacing w:before="14"/>
                            <w:ind w:left="1156" w:hanging="113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7717C2">
                            <w:rPr>
                              <w:sz w:val="16"/>
                            </w:rPr>
                            <w:t>2</w:t>
                          </w:r>
                          <w:r w:rsidR="0019075A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19075A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2 - 09.1 – Cardiff Metropolitan University Policy Statement on Collaborative Provision – modified 22.09.08, 26.10.11, 23.11.11, 06.12.13</w:t>
                          </w:r>
                          <w:r w:rsidR="00FF202C"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2748C5">
                            <w:rPr>
                              <w:sz w:val="16"/>
                            </w:rPr>
                            <w:t>02.07.19</w:t>
                          </w:r>
                          <w:r w:rsidR="008876AF">
                            <w:rPr>
                              <w:sz w:val="16"/>
                            </w:rPr>
                            <w:t>, 29.09.19</w:t>
                          </w:r>
                          <w:r w:rsidR="00FF202C">
                            <w:rPr>
                              <w:sz w:val="16"/>
                            </w:rPr>
                            <w:t xml:space="preserve">; </w:t>
                          </w:r>
                          <w:r>
                            <w:rPr>
                              <w:sz w:val="16"/>
                            </w:rPr>
                            <w:t xml:space="preserve">last modified </w:t>
                          </w:r>
                          <w:r w:rsidR="008876AF">
                            <w:rPr>
                              <w:sz w:val="16"/>
                            </w:rPr>
                            <w:t>20.02.24</w:t>
                          </w:r>
                        </w:p>
                        <w:p w14:paraId="15FBB943" w14:textId="23F70094" w:rsidR="00E5227B" w:rsidRDefault="00E914F4">
                          <w:pPr>
                            <w:spacing w:before="98"/>
                            <w:ind w:right="283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7F11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EE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4pt;margin-top:777pt;width:410.65pt;height:3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" filled="f" stroked="f">
              <v:textbox inset="0,0,0,0">
                <w:txbxContent>
                  <w:p w14:paraId="6FAE8A47" w14:textId="14D1EF3A" w:rsidR="00E5227B" w:rsidRDefault="00E914F4">
                    <w:pPr>
                      <w:spacing w:before="14"/>
                      <w:ind w:left="1156" w:hanging="113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7717C2">
                      <w:rPr>
                        <w:sz w:val="16"/>
                      </w:rPr>
                      <w:t>2</w:t>
                    </w:r>
                    <w:r w:rsidR="0019075A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19075A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2 - 09.1 – Cardiff Metropolitan University Policy Statement on Collaborative Provision – modified 22.09.08, 26.10.11, 23.11.11, 06.12.13</w:t>
                    </w:r>
                    <w:r w:rsidR="00FF202C">
                      <w:rPr>
                        <w:sz w:val="16"/>
                      </w:rPr>
                      <w:t>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2748C5">
                      <w:rPr>
                        <w:sz w:val="16"/>
                      </w:rPr>
                      <w:t>02.07.19</w:t>
                    </w:r>
                    <w:r w:rsidR="008876AF">
                      <w:rPr>
                        <w:sz w:val="16"/>
                      </w:rPr>
                      <w:t>, 29.09.19</w:t>
                    </w:r>
                    <w:r w:rsidR="00FF202C">
                      <w:rPr>
                        <w:sz w:val="16"/>
                      </w:rPr>
                      <w:t xml:space="preserve">; </w:t>
                    </w:r>
                    <w:r>
                      <w:rPr>
                        <w:sz w:val="16"/>
                      </w:rPr>
                      <w:t xml:space="preserve">last modified </w:t>
                    </w:r>
                    <w:r w:rsidR="008876AF">
                      <w:rPr>
                        <w:sz w:val="16"/>
                      </w:rPr>
                      <w:t>20.02.24</w:t>
                    </w:r>
                  </w:p>
                  <w:p w14:paraId="15FBB943" w14:textId="23F70094" w:rsidR="00E5227B" w:rsidRDefault="00E914F4">
                    <w:pPr>
                      <w:spacing w:before="98"/>
                      <w:ind w:right="283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7F11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82DB" w14:textId="77777777" w:rsidR="009838FF" w:rsidRDefault="009838FF">
      <w:r>
        <w:separator/>
      </w:r>
    </w:p>
  </w:footnote>
  <w:footnote w:type="continuationSeparator" w:id="0">
    <w:p w14:paraId="3A232FBC" w14:textId="77777777" w:rsidR="009838FF" w:rsidRDefault="0098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80B"/>
    <w:multiLevelType w:val="hybridMultilevel"/>
    <w:tmpl w:val="70F87E2E"/>
    <w:lvl w:ilvl="0" w:tplc="4C54B5E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E6A01E4A">
      <w:numFmt w:val="bullet"/>
      <w:lvlText w:val=""/>
      <w:lvlJc w:val="left"/>
      <w:pPr>
        <w:ind w:left="1200" w:hanging="513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B287DF0">
      <w:numFmt w:val="bullet"/>
      <w:lvlText w:val="-"/>
      <w:lvlJc w:val="left"/>
      <w:pPr>
        <w:ind w:left="1560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 w:tplc="FB2C64A8"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772BDA0">
      <w:numFmt w:val="bullet"/>
      <w:lvlText w:val="•"/>
      <w:lvlJc w:val="left"/>
      <w:pPr>
        <w:ind w:left="3306" w:hanging="360"/>
      </w:pPr>
      <w:rPr>
        <w:rFonts w:hint="default"/>
      </w:rPr>
    </w:lvl>
    <w:lvl w:ilvl="5" w:tplc="4E0A3AFC">
      <w:numFmt w:val="bullet"/>
      <w:lvlText w:val="•"/>
      <w:lvlJc w:val="left"/>
      <w:pPr>
        <w:ind w:left="4179" w:hanging="360"/>
      </w:pPr>
      <w:rPr>
        <w:rFonts w:hint="default"/>
      </w:rPr>
    </w:lvl>
    <w:lvl w:ilvl="6" w:tplc="42BA3098">
      <w:numFmt w:val="bullet"/>
      <w:lvlText w:val="•"/>
      <w:lvlJc w:val="left"/>
      <w:pPr>
        <w:ind w:left="5053" w:hanging="360"/>
      </w:pPr>
      <w:rPr>
        <w:rFonts w:hint="default"/>
      </w:rPr>
    </w:lvl>
    <w:lvl w:ilvl="7" w:tplc="9BC08BFC">
      <w:numFmt w:val="bullet"/>
      <w:lvlText w:val="•"/>
      <w:lvlJc w:val="left"/>
      <w:pPr>
        <w:ind w:left="5926" w:hanging="360"/>
      </w:pPr>
      <w:rPr>
        <w:rFonts w:hint="default"/>
      </w:rPr>
    </w:lvl>
    <w:lvl w:ilvl="8" w:tplc="DCF2BB10">
      <w:numFmt w:val="bullet"/>
      <w:lvlText w:val="•"/>
      <w:lvlJc w:val="left"/>
      <w:pPr>
        <w:ind w:left="6799" w:hanging="360"/>
      </w:pPr>
      <w:rPr>
        <w:rFonts w:hint="default"/>
      </w:rPr>
    </w:lvl>
  </w:abstractNum>
  <w:num w:numId="1" w16cid:durableId="83102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7B"/>
    <w:rsid w:val="00113857"/>
    <w:rsid w:val="00157F75"/>
    <w:rsid w:val="0019075A"/>
    <w:rsid w:val="001F7399"/>
    <w:rsid w:val="00246C98"/>
    <w:rsid w:val="002748C5"/>
    <w:rsid w:val="00292C4C"/>
    <w:rsid w:val="00333137"/>
    <w:rsid w:val="0039688B"/>
    <w:rsid w:val="004A17C9"/>
    <w:rsid w:val="004B1371"/>
    <w:rsid w:val="00507722"/>
    <w:rsid w:val="005C61ED"/>
    <w:rsid w:val="0062601F"/>
    <w:rsid w:val="0065330F"/>
    <w:rsid w:val="00662BD2"/>
    <w:rsid w:val="006A4CF2"/>
    <w:rsid w:val="006F1D3B"/>
    <w:rsid w:val="006F7F11"/>
    <w:rsid w:val="00706FEB"/>
    <w:rsid w:val="00715F30"/>
    <w:rsid w:val="007717C2"/>
    <w:rsid w:val="00783C99"/>
    <w:rsid w:val="00870271"/>
    <w:rsid w:val="008876AF"/>
    <w:rsid w:val="009016DB"/>
    <w:rsid w:val="00915384"/>
    <w:rsid w:val="00961C62"/>
    <w:rsid w:val="009838FF"/>
    <w:rsid w:val="009B4244"/>
    <w:rsid w:val="009B5AB0"/>
    <w:rsid w:val="00A01F38"/>
    <w:rsid w:val="00A55833"/>
    <w:rsid w:val="00B04431"/>
    <w:rsid w:val="00BB3F02"/>
    <w:rsid w:val="00CA0FB4"/>
    <w:rsid w:val="00DE35AA"/>
    <w:rsid w:val="00E5227B"/>
    <w:rsid w:val="00E914F4"/>
    <w:rsid w:val="00E96DD4"/>
    <w:rsid w:val="00EA6B7D"/>
    <w:rsid w:val="00F373C1"/>
    <w:rsid w:val="00F47993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C1D23"/>
  <w15:docId w15:val="{96EBC2AE-96C0-49D1-AA36-6426B80F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5"/>
      <w:ind w:left="788" w:right="33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right="117" w:hanging="5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4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8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4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8C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3313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0" ma:contentTypeDescription="Create a new document." ma:contentTypeScope="" ma:versionID="275c4d32ba8da2b496d7e3121f190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020BC-FBEE-4B0C-94EF-5C1A3E400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8FBFE9-84F6-4778-9204-CCD9F2461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2749-5A8B-46C0-82A6-23DA433AE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531</Words>
  <Characters>3129</Characters>
  <Application>Microsoft Office Word</Application>
  <DocSecurity>0</DocSecurity>
  <Lines>117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sm15038</dc:creator>
  <cp:lastModifiedBy>Wildsmith, Duncan</cp:lastModifiedBy>
  <cp:revision>10</cp:revision>
  <dcterms:created xsi:type="dcterms:W3CDTF">2024-02-22T13:38:00Z</dcterms:created>
  <dcterms:modified xsi:type="dcterms:W3CDTF">2026-04-01T11:07:00Z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0x010100EF36D09BF0B18A478A59D10A0E70415C</vt:lpwstr>
  </property>
</Properties>
</file>