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C3FD" w14:textId="77777777" w:rsidR="00F338D2" w:rsidRDefault="00F338D2">
      <w:pPr>
        <w:pStyle w:val="BodyText"/>
        <w:rPr>
          <w:rFonts w:ascii="Times New Roman"/>
          <w:sz w:val="20"/>
        </w:rPr>
      </w:pPr>
    </w:p>
    <w:p w14:paraId="4ACE8D7D" w14:textId="77777777" w:rsidR="00F338D2" w:rsidRDefault="00F338D2">
      <w:pPr>
        <w:pStyle w:val="BodyText"/>
        <w:rPr>
          <w:rFonts w:ascii="Times New Roman"/>
          <w:sz w:val="20"/>
        </w:rPr>
      </w:pPr>
    </w:p>
    <w:p w14:paraId="7116C04F" w14:textId="77777777" w:rsidR="00F338D2" w:rsidRDefault="00F338D2">
      <w:pPr>
        <w:pStyle w:val="BodyText"/>
        <w:rPr>
          <w:rFonts w:ascii="Times New Roman"/>
          <w:sz w:val="20"/>
        </w:rPr>
      </w:pPr>
    </w:p>
    <w:p w14:paraId="10DC96FB" w14:textId="77777777" w:rsidR="00F338D2" w:rsidRDefault="00F338D2">
      <w:pPr>
        <w:pStyle w:val="BodyText"/>
        <w:rPr>
          <w:rFonts w:ascii="Times New Roman"/>
          <w:sz w:val="20"/>
        </w:rPr>
      </w:pPr>
    </w:p>
    <w:p w14:paraId="7998CD75" w14:textId="77777777" w:rsidR="00F338D2" w:rsidRDefault="00F338D2">
      <w:pPr>
        <w:pStyle w:val="BodyText"/>
        <w:rPr>
          <w:rFonts w:ascii="Times New Roman"/>
          <w:sz w:val="20"/>
        </w:rPr>
      </w:pPr>
    </w:p>
    <w:p w14:paraId="760EFD22" w14:textId="77777777" w:rsidR="00F338D2" w:rsidRDefault="00F338D2">
      <w:pPr>
        <w:pStyle w:val="BodyText"/>
        <w:rPr>
          <w:rFonts w:ascii="Times New Roman"/>
          <w:sz w:val="20"/>
        </w:rPr>
      </w:pPr>
    </w:p>
    <w:p w14:paraId="3811F677" w14:textId="77777777" w:rsidR="00F338D2" w:rsidRDefault="00F338D2">
      <w:pPr>
        <w:pStyle w:val="BodyText"/>
        <w:rPr>
          <w:rFonts w:ascii="Times New Roman"/>
          <w:sz w:val="20"/>
        </w:rPr>
      </w:pPr>
    </w:p>
    <w:p w14:paraId="2429097A" w14:textId="77777777" w:rsidR="00F338D2" w:rsidRDefault="00F338D2">
      <w:pPr>
        <w:pStyle w:val="BodyText"/>
        <w:rPr>
          <w:rFonts w:ascii="Times New Roman"/>
          <w:sz w:val="20"/>
        </w:rPr>
      </w:pPr>
    </w:p>
    <w:p w14:paraId="555D436B" w14:textId="77777777" w:rsidR="00F338D2" w:rsidRDefault="00F338D2">
      <w:pPr>
        <w:pStyle w:val="BodyText"/>
        <w:rPr>
          <w:rFonts w:ascii="Times New Roman"/>
          <w:sz w:val="20"/>
        </w:rPr>
      </w:pPr>
    </w:p>
    <w:p w14:paraId="75F03F40" w14:textId="77777777" w:rsidR="00F338D2" w:rsidRDefault="00F338D2">
      <w:pPr>
        <w:pStyle w:val="BodyText"/>
        <w:rPr>
          <w:rFonts w:ascii="Times New Roman"/>
          <w:sz w:val="20"/>
        </w:rPr>
      </w:pPr>
    </w:p>
    <w:p w14:paraId="1CB78339" w14:textId="77777777" w:rsidR="00F338D2" w:rsidRDefault="00F338D2">
      <w:pPr>
        <w:pStyle w:val="BodyText"/>
        <w:rPr>
          <w:rFonts w:ascii="Times New Roman"/>
          <w:sz w:val="20"/>
        </w:rPr>
      </w:pPr>
    </w:p>
    <w:p w14:paraId="4731D6AE" w14:textId="77777777" w:rsidR="00F338D2" w:rsidRDefault="00F338D2">
      <w:pPr>
        <w:pStyle w:val="BodyText"/>
        <w:rPr>
          <w:rFonts w:ascii="Times New Roman"/>
          <w:sz w:val="20"/>
        </w:rPr>
      </w:pPr>
    </w:p>
    <w:p w14:paraId="5E05BB28" w14:textId="77777777" w:rsidR="00F338D2" w:rsidRDefault="00F338D2">
      <w:pPr>
        <w:pStyle w:val="BodyText"/>
        <w:rPr>
          <w:rFonts w:ascii="Times New Roman"/>
          <w:sz w:val="20"/>
        </w:rPr>
      </w:pPr>
    </w:p>
    <w:p w14:paraId="1CE9E798" w14:textId="77777777" w:rsidR="00F338D2" w:rsidRDefault="00F338D2">
      <w:pPr>
        <w:pStyle w:val="BodyText"/>
        <w:rPr>
          <w:rFonts w:ascii="Times New Roman"/>
          <w:sz w:val="20"/>
        </w:rPr>
      </w:pPr>
    </w:p>
    <w:p w14:paraId="54666193" w14:textId="77777777" w:rsidR="00F338D2" w:rsidRDefault="00F338D2">
      <w:pPr>
        <w:pStyle w:val="BodyText"/>
        <w:rPr>
          <w:rFonts w:ascii="Times New Roman"/>
          <w:sz w:val="20"/>
        </w:rPr>
      </w:pPr>
    </w:p>
    <w:p w14:paraId="76BA1672" w14:textId="77777777" w:rsidR="00F338D2" w:rsidRDefault="00F338D2">
      <w:pPr>
        <w:pStyle w:val="BodyText"/>
        <w:rPr>
          <w:rFonts w:ascii="Times New Roman"/>
          <w:sz w:val="20"/>
        </w:rPr>
      </w:pPr>
    </w:p>
    <w:p w14:paraId="5BFC0FA5" w14:textId="77777777" w:rsidR="00F338D2" w:rsidRDefault="00F338D2">
      <w:pPr>
        <w:pStyle w:val="BodyText"/>
        <w:rPr>
          <w:rFonts w:ascii="Times New Roman"/>
          <w:sz w:val="20"/>
        </w:rPr>
      </w:pPr>
    </w:p>
    <w:p w14:paraId="6FF10D12" w14:textId="77777777" w:rsidR="00F338D2" w:rsidRDefault="00F338D2">
      <w:pPr>
        <w:pStyle w:val="BodyText"/>
        <w:rPr>
          <w:rFonts w:ascii="Times New Roman"/>
          <w:sz w:val="20"/>
        </w:rPr>
      </w:pPr>
    </w:p>
    <w:p w14:paraId="0D8F6D78" w14:textId="77777777" w:rsidR="00F338D2" w:rsidRDefault="00F338D2">
      <w:pPr>
        <w:pStyle w:val="BodyText"/>
        <w:rPr>
          <w:rFonts w:ascii="Times New Roman"/>
          <w:sz w:val="20"/>
        </w:rPr>
      </w:pPr>
    </w:p>
    <w:p w14:paraId="526746DF" w14:textId="77777777" w:rsidR="00F338D2" w:rsidRDefault="00F338D2">
      <w:pPr>
        <w:pStyle w:val="BodyText"/>
        <w:rPr>
          <w:rFonts w:ascii="Times New Roman"/>
          <w:sz w:val="20"/>
        </w:rPr>
      </w:pPr>
    </w:p>
    <w:p w14:paraId="5F16AE47" w14:textId="77777777" w:rsidR="00F338D2" w:rsidRDefault="00CF31EF">
      <w:pPr>
        <w:pStyle w:val="Heading1"/>
      </w:pPr>
      <w:r>
        <w:t>09.5</w:t>
      </w:r>
    </w:p>
    <w:p w14:paraId="0428CEC3" w14:textId="77777777" w:rsidR="00F338D2" w:rsidRDefault="00CF31EF">
      <w:pPr>
        <w:spacing w:before="276"/>
        <w:ind w:left="486" w:right="484"/>
        <w:jc w:val="center"/>
        <w:rPr>
          <w:b/>
          <w:sz w:val="48"/>
        </w:rPr>
      </w:pPr>
      <w:r>
        <w:rPr>
          <w:b/>
          <w:sz w:val="48"/>
        </w:rPr>
        <w:t>COMPLEMENTARY STUDY AND ASSESSMENT AT OVERSEAS INSTITUTIONS: VARIATIONS TO VALIDATED PROGRAMMES FOR INDIVIDUAL STUDENTS</w:t>
      </w:r>
    </w:p>
    <w:p w14:paraId="576B2C9D" w14:textId="77777777" w:rsidR="00F338D2" w:rsidRDefault="00F338D2">
      <w:pPr>
        <w:jc w:val="center"/>
        <w:rPr>
          <w:sz w:val="48"/>
        </w:rPr>
        <w:sectPr w:rsidR="00F338D2">
          <w:footerReference w:type="default" r:id="rId10"/>
          <w:type w:val="continuous"/>
          <w:pgSz w:w="11910" w:h="16840"/>
          <w:pgMar w:top="1580" w:right="1680" w:bottom="1260" w:left="1680" w:header="720" w:footer="1078" w:gutter="0"/>
          <w:pgNumType w:start="1"/>
          <w:cols w:space="720"/>
        </w:sectPr>
      </w:pPr>
    </w:p>
    <w:p w14:paraId="459B7680" w14:textId="77777777" w:rsidR="00F338D2" w:rsidRDefault="00CF31EF">
      <w:pPr>
        <w:pStyle w:val="Heading2"/>
        <w:spacing w:before="81"/>
        <w:ind w:left="120" w:firstLine="0"/>
      </w:pPr>
      <w:r>
        <w:lastRenderedPageBreak/>
        <w:t>CARDIFF METROPOLITAN UNIVERSITY</w:t>
      </w:r>
    </w:p>
    <w:p w14:paraId="781DE2D0" w14:textId="77777777" w:rsidR="00F338D2" w:rsidRDefault="00F338D2">
      <w:pPr>
        <w:pStyle w:val="BodyText"/>
        <w:spacing w:before="10"/>
        <w:rPr>
          <w:b/>
          <w:sz w:val="20"/>
        </w:rPr>
      </w:pPr>
    </w:p>
    <w:p w14:paraId="2D934F5B" w14:textId="77777777" w:rsidR="00F338D2" w:rsidRDefault="00CF31EF">
      <w:pPr>
        <w:ind w:left="120" w:right="117"/>
        <w:jc w:val="both"/>
        <w:rPr>
          <w:b/>
          <w:sz w:val="24"/>
        </w:rPr>
      </w:pPr>
      <w:r>
        <w:rPr>
          <w:b/>
          <w:sz w:val="24"/>
        </w:rPr>
        <w:t>COMPLEMENTARY STUDY AND ASSESSMENT AT OVERSEAS INSTITUTIONS: VARIATIONS TO VALIDATED PROGRAMMES FOR INDIVIDUAL STUDENTS</w:t>
      </w:r>
    </w:p>
    <w:p w14:paraId="07583166" w14:textId="77777777" w:rsidR="00F338D2" w:rsidRDefault="00F338D2">
      <w:pPr>
        <w:pStyle w:val="BodyText"/>
        <w:spacing w:before="8"/>
        <w:rPr>
          <w:b/>
          <w:sz w:val="20"/>
        </w:rPr>
      </w:pPr>
    </w:p>
    <w:p w14:paraId="5D6BD9A3" w14:textId="77777777" w:rsidR="00F338D2" w:rsidRDefault="00CF31EF">
      <w:pPr>
        <w:pStyle w:val="ListParagraph"/>
        <w:numPr>
          <w:ilvl w:val="0"/>
          <w:numId w:val="1"/>
        </w:numPr>
        <w:tabs>
          <w:tab w:val="left" w:pos="688"/>
        </w:tabs>
        <w:ind w:right="0"/>
        <w:jc w:val="both"/>
        <w:rPr>
          <w:b/>
          <w:sz w:val="24"/>
        </w:rPr>
      </w:pPr>
      <w:r>
        <w:rPr>
          <w:b/>
          <w:sz w:val="24"/>
        </w:rPr>
        <w:t>Introduction</w:t>
      </w:r>
    </w:p>
    <w:p w14:paraId="0D893C47" w14:textId="77777777" w:rsidR="00F338D2" w:rsidRDefault="00F338D2">
      <w:pPr>
        <w:pStyle w:val="BodyText"/>
        <w:spacing w:before="9"/>
        <w:rPr>
          <w:b/>
          <w:sz w:val="20"/>
        </w:rPr>
      </w:pPr>
    </w:p>
    <w:p w14:paraId="64DA1F25" w14:textId="3FE4B0E9" w:rsidR="00F338D2" w:rsidRDefault="00CF31EF">
      <w:pPr>
        <w:pStyle w:val="ListParagraph"/>
        <w:numPr>
          <w:ilvl w:val="1"/>
          <w:numId w:val="1"/>
        </w:numPr>
        <w:tabs>
          <w:tab w:val="left" w:pos="1261"/>
        </w:tabs>
        <w:ind w:right="120"/>
        <w:jc w:val="both"/>
        <w:rPr>
          <w:sz w:val="24"/>
        </w:rPr>
      </w:pPr>
      <w:r>
        <w:rPr>
          <w:sz w:val="24"/>
        </w:rPr>
        <w:t xml:space="preserve">For programmes in which a proportion of study takes place at an overseas institution on a regular basis, it is mandatory that such study is fully encompassed by the definitive programme document either at validation or via approved modification mechanisms. In such circumstances, however, the arrangements for </w:t>
      </w:r>
      <w:r w:rsidR="001506BF">
        <w:rPr>
          <w:sz w:val="24"/>
        </w:rPr>
        <w:t>overseas study</w:t>
      </w:r>
      <w:r>
        <w:rPr>
          <w:sz w:val="24"/>
        </w:rPr>
        <w:t xml:space="preserve"> should take </w:t>
      </w:r>
      <w:proofErr w:type="spellStart"/>
      <w:r>
        <w:rPr>
          <w:sz w:val="24"/>
        </w:rPr>
        <w:t>cognisance</w:t>
      </w:r>
      <w:proofErr w:type="spellEnd"/>
      <w:r>
        <w:rPr>
          <w:sz w:val="24"/>
        </w:rPr>
        <w:t xml:space="preserve"> of the generality of 2.3</w:t>
      </w:r>
      <w:r>
        <w:rPr>
          <w:spacing w:val="-5"/>
          <w:sz w:val="24"/>
        </w:rPr>
        <w:t xml:space="preserve"> </w:t>
      </w:r>
      <w:r>
        <w:rPr>
          <w:sz w:val="24"/>
        </w:rPr>
        <w:t>below.</w:t>
      </w:r>
    </w:p>
    <w:p w14:paraId="1EE9C6DA" w14:textId="77777777" w:rsidR="00F338D2" w:rsidRDefault="00F338D2">
      <w:pPr>
        <w:pStyle w:val="BodyText"/>
        <w:spacing w:before="9"/>
        <w:rPr>
          <w:sz w:val="20"/>
        </w:rPr>
      </w:pPr>
    </w:p>
    <w:p w14:paraId="097E6F11" w14:textId="77777777" w:rsidR="00F338D2" w:rsidRDefault="00CF31EF">
      <w:pPr>
        <w:pStyle w:val="ListParagraph"/>
        <w:numPr>
          <w:ilvl w:val="1"/>
          <w:numId w:val="1"/>
        </w:numPr>
        <w:tabs>
          <w:tab w:val="left" w:pos="1261"/>
        </w:tabs>
        <w:ind w:right="119"/>
        <w:jc w:val="both"/>
        <w:rPr>
          <w:sz w:val="24"/>
        </w:rPr>
      </w:pPr>
      <w:r>
        <w:rPr>
          <w:sz w:val="24"/>
        </w:rPr>
        <w:t>In other instances, where arrangements are to be made for individual students, on an infrequent basis, to undertake study abroad, such study not being covered by the definitive programme document but required to contribute towards the award, the following</w:t>
      </w:r>
      <w:r>
        <w:rPr>
          <w:spacing w:val="-3"/>
          <w:sz w:val="24"/>
        </w:rPr>
        <w:t xml:space="preserve"> </w:t>
      </w:r>
      <w:r>
        <w:rPr>
          <w:sz w:val="24"/>
        </w:rPr>
        <w:t>applies.</w:t>
      </w:r>
    </w:p>
    <w:p w14:paraId="527798CB" w14:textId="77777777" w:rsidR="00F338D2" w:rsidRDefault="00F338D2">
      <w:pPr>
        <w:pStyle w:val="BodyText"/>
        <w:spacing w:before="9"/>
        <w:rPr>
          <w:sz w:val="20"/>
        </w:rPr>
      </w:pPr>
    </w:p>
    <w:p w14:paraId="512D97BC" w14:textId="77777777" w:rsidR="00F338D2" w:rsidRDefault="00CF31EF">
      <w:pPr>
        <w:pStyle w:val="Heading2"/>
        <w:numPr>
          <w:ilvl w:val="0"/>
          <w:numId w:val="1"/>
        </w:numPr>
        <w:tabs>
          <w:tab w:val="left" w:pos="688"/>
        </w:tabs>
        <w:jc w:val="both"/>
      </w:pPr>
      <w:r>
        <w:t>Complementary Study and Assessment at an Overseas</w:t>
      </w:r>
      <w:r>
        <w:rPr>
          <w:spacing w:val="-12"/>
        </w:rPr>
        <w:t xml:space="preserve"> </w:t>
      </w:r>
      <w:r>
        <w:t>Institution</w:t>
      </w:r>
    </w:p>
    <w:p w14:paraId="5D22E807" w14:textId="77777777" w:rsidR="00F338D2" w:rsidRDefault="00F338D2">
      <w:pPr>
        <w:pStyle w:val="BodyText"/>
        <w:spacing w:before="9"/>
        <w:rPr>
          <w:b/>
          <w:sz w:val="20"/>
        </w:rPr>
      </w:pPr>
    </w:p>
    <w:p w14:paraId="1F2C417E" w14:textId="0506E351" w:rsidR="00F338D2" w:rsidRDefault="00CF31EF">
      <w:pPr>
        <w:pStyle w:val="ListParagraph"/>
        <w:numPr>
          <w:ilvl w:val="1"/>
          <w:numId w:val="1"/>
        </w:numPr>
        <w:tabs>
          <w:tab w:val="left" w:pos="1255"/>
        </w:tabs>
        <w:ind w:left="1254" w:right="116" w:hanging="566"/>
        <w:jc w:val="both"/>
        <w:rPr>
          <w:sz w:val="24"/>
        </w:rPr>
      </w:pPr>
      <w:r>
        <w:rPr>
          <w:sz w:val="24"/>
        </w:rPr>
        <w:t xml:space="preserve">Where an individual student wishes to substitute study at the University for study of an equivalent or complementary nature at an overseas institution of similar standing to that of Cardiff Metropolitan University, programme teams should ensure that such students are not disadvantaged compared to their cohort colleagues and vice versa.  Such study might be in </w:t>
      </w:r>
      <w:r w:rsidR="001506BF">
        <w:rPr>
          <w:sz w:val="24"/>
        </w:rPr>
        <w:t>connection with</w:t>
      </w:r>
      <w:r>
        <w:rPr>
          <w:sz w:val="24"/>
        </w:rPr>
        <w:t>, for example, an ECTS</w:t>
      </w:r>
      <w:r>
        <w:rPr>
          <w:spacing w:val="-5"/>
          <w:sz w:val="24"/>
        </w:rPr>
        <w:t xml:space="preserve"> </w:t>
      </w:r>
      <w:r>
        <w:rPr>
          <w:sz w:val="24"/>
        </w:rPr>
        <w:t>proposal.</w:t>
      </w:r>
    </w:p>
    <w:p w14:paraId="7FD9364B" w14:textId="77777777" w:rsidR="00F338D2" w:rsidRDefault="00F338D2">
      <w:pPr>
        <w:pStyle w:val="BodyText"/>
        <w:spacing w:before="9"/>
        <w:rPr>
          <w:sz w:val="20"/>
        </w:rPr>
      </w:pPr>
    </w:p>
    <w:p w14:paraId="4B04CBF0" w14:textId="66201FB3" w:rsidR="00F338D2" w:rsidRDefault="00CF31EF">
      <w:pPr>
        <w:pStyle w:val="ListParagraph"/>
        <w:numPr>
          <w:ilvl w:val="1"/>
          <w:numId w:val="1"/>
        </w:numPr>
        <w:tabs>
          <w:tab w:val="left" w:pos="1255"/>
        </w:tabs>
        <w:ind w:left="1254" w:hanging="566"/>
        <w:jc w:val="both"/>
        <w:rPr>
          <w:sz w:val="24"/>
        </w:rPr>
      </w:pPr>
      <w:r>
        <w:rPr>
          <w:sz w:val="24"/>
        </w:rPr>
        <w:t xml:space="preserve">Such study must not normally exceed and cannot be exempted/credited for more than 5 modules of a Cardiff Metropolitan University validated </w:t>
      </w:r>
      <w:proofErr w:type="gramStart"/>
      <w:r>
        <w:rPr>
          <w:sz w:val="24"/>
        </w:rPr>
        <w:t>three year</w:t>
      </w:r>
      <w:proofErr w:type="gramEnd"/>
      <w:r>
        <w:rPr>
          <w:sz w:val="24"/>
        </w:rPr>
        <w:t xml:space="preserve"> degree programme, or pro-rata for programmes of shorter duration, and must be at or below level 2 for a degree programme. At </w:t>
      </w:r>
      <w:r w:rsidR="001506BF">
        <w:rPr>
          <w:sz w:val="24"/>
        </w:rPr>
        <w:t>master’s</w:t>
      </w:r>
      <w:r>
        <w:rPr>
          <w:sz w:val="24"/>
        </w:rPr>
        <w:t xml:space="preserve"> level, external study and assessment shall be restricted to the taught component of the</w:t>
      </w:r>
      <w:r>
        <w:rPr>
          <w:spacing w:val="-3"/>
          <w:sz w:val="24"/>
        </w:rPr>
        <w:t xml:space="preserve"> </w:t>
      </w:r>
      <w:r>
        <w:rPr>
          <w:sz w:val="24"/>
        </w:rPr>
        <w:t>programme.</w:t>
      </w:r>
    </w:p>
    <w:p w14:paraId="12109739" w14:textId="77777777" w:rsidR="00F338D2" w:rsidRDefault="00F338D2">
      <w:pPr>
        <w:pStyle w:val="BodyText"/>
        <w:spacing w:before="9"/>
        <w:rPr>
          <w:sz w:val="20"/>
        </w:rPr>
      </w:pPr>
    </w:p>
    <w:p w14:paraId="218621CD" w14:textId="77777777" w:rsidR="00F338D2" w:rsidRDefault="00CF31EF">
      <w:pPr>
        <w:pStyle w:val="ListParagraph"/>
        <w:numPr>
          <w:ilvl w:val="1"/>
          <w:numId w:val="1"/>
        </w:numPr>
        <w:tabs>
          <w:tab w:val="left" w:pos="1255"/>
        </w:tabs>
        <w:ind w:left="1254" w:right="121" w:hanging="566"/>
        <w:jc w:val="both"/>
        <w:rPr>
          <w:sz w:val="24"/>
        </w:rPr>
      </w:pPr>
      <w:r>
        <w:rPr>
          <w:sz w:val="24"/>
        </w:rPr>
        <w:t xml:space="preserve">In </w:t>
      </w:r>
      <w:proofErr w:type="spellStart"/>
      <w:r>
        <w:rPr>
          <w:sz w:val="24"/>
        </w:rPr>
        <w:t>organising</w:t>
      </w:r>
      <w:proofErr w:type="spellEnd"/>
      <w:r>
        <w:rPr>
          <w:sz w:val="24"/>
        </w:rPr>
        <w:t xml:space="preserve"> study abroad, </w:t>
      </w:r>
      <w:proofErr w:type="spellStart"/>
      <w:r>
        <w:rPr>
          <w:sz w:val="24"/>
        </w:rPr>
        <w:t>programme</w:t>
      </w:r>
      <w:proofErr w:type="spellEnd"/>
      <w:r>
        <w:rPr>
          <w:sz w:val="24"/>
        </w:rPr>
        <w:t xml:space="preserve"> teams must consider and attend</w:t>
      </w:r>
      <w:r>
        <w:rPr>
          <w:spacing w:val="-2"/>
          <w:sz w:val="24"/>
        </w:rPr>
        <w:t xml:space="preserve"> </w:t>
      </w:r>
      <w:r>
        <w:rPr>
          <w:sz w:val="24"/>
        </w:rPr>
        <w:t>to:</w:t>
      </w:r>
    </w:p>
    <w:p w14:paraId="31CB82E0" w14:textId="77777777" w:rsidR="00F338D2" w:rsidRDefault="00F338D2">
      <w:pPr>
        <w:pStyle w:val="BodyText"/>
        <w:spacing w:before="9"/>
        <w:rPr>
          <w:sz w:val="20"/>
        </w:rPr>
      </w:pPr>
    </w:p>
    <w:p w14:paraId="67689733" w14:textId="77777777" w:rsidR="00F338D2" w:rsidRDefault="00CF31EF">
      <w:pPr>
        <w:pStyle w:val="ListParagraph"/>
        <w:numPr>
          <w:ilvl w:val="2"/>
          <w:numId w:val="1"/>
        </w:numPr>
        <w:tabs>
          <w:tab w:val="left" w:pos="1822"/>
        </w:tabs>
        <w:ind w:right="121"/>
        <w:jc w:val="both"/>
        <w:rPr>
          <w:sz w:val="24"/>
        </w:rPr>
      </w:pPr>
      <w:r>
        <w:rPr>
          <w:sz w:val="24"/>
        </w:rPr>
        <w:t>the curricula, content and learning outcomes of the proposed study in the context of the validated</w:t>
      </w:r>
      <w:r>
        <w:rPr>
          <w:spacing w:val="-5"/>
          <w:sz w:val="24"/>
        </w:rPr>
        <w:t xml:space="preserve"> </w:t>
      </w:r>
      <w:proofErr w:type="gramStart"/>
      <w:r>
        <w:rPr>
          <w:sz w:val="24"/>
        </w:rPr>
        <w:t>programme;</w:t>
      </w:r>
      <w:proofErr w:type="gramEnd"/>
    </w:p>
    <w:p w14:paraId="327D78D6" w14:textId="77777777" w:rsidR="00F338D2" w:rsidRDefault="00F338D2">
      <w:pPr>
        <w:pStyle w:val="BodyText"/>
        <w:spacing w:before="9"/>
        <w:rPr>
          <w:sz w:val="20"/>
        </w:rPr>
      </w:pPr>
    </w:p>
    <w:p w14:paraId="12918682" w14:textId="77777777" w:rsidR="00F338D2" w:rsidRDefault="00CF31EF">
      <w:pPr>
        <w:pStyle w:val="ListParagraph"/>
        <w:numPr>
          <w:ilvl w:val="2"/>
          <w:numId w:val="1"/>
        </w:numPr>
        <w:tabs>
          <w:tab w:val="left" w:pos="1822"/>
        </w:tabs>
        <w:jc w:val="both"/>
        <w:rPr>
          <w:sz w:val="24"/>
        </w:rPr>
      </w:pPr>
      <w:r>
        <w:rPr>
          <w:sz w:val="24"/>
        </w:rPr>
        <w:t xml:space="preserve">the implications </w:t>
      </w:r>
      <w:proofErr w:type="gramStart"/>
      <w:r>
        <w:rPr>
          <w:sz w:val="24"/>
        </w:rPr>
        <w:t>in regard to</w:t>
      </w:r>
      <w:proofErr w:type="gramEnd"/>
      <w:r>
        <w:rPr>
          <w:sz w:val="24"/>
        </w:rPr>
        <w:t xml:space="preserve"> any prerequisite study for the complementary material; such material should be readily supported by prior study on the validated</w:t>
      </w:r>
      <w:r>
        <w:rPr>
          <w:spacing w:val="-6"/>
          <w:sz w:val="24"/>
        </w:rPr>
        <w:t xml:space="preserve"> </w:t>
      </w:r>
      <w:proofErr w:type="gramStart"/>
      <w:r>
        <w:rPr>
          <w:sz w:val="24"/>
        </w:rPr>
        <w:t>programme;</w:t>
      </w:r>
      <w:proofErr w:type="gramEnd"/>
    </w:p>
    <w:p w14:paraId="73E1D7C1" w14:textId="77777777" w:rsidR="00F338D2" w:rsidRDefault="00F338D2">
      <w:pPr>
        <w:pStyle w:val="BodyText"/>
        <w:spacing w:before="9"/>
        <w:rPr>
          <w:sz w:val="20"/>
        </w:rPr>
      </w:pPr>
    </w:p>
    <w:p w14:paraId="3A1EFF99" w14:textId="77777777" w:rsidR="00F338D2" w:rsidRDefault="00CF31EF">
      <w:pPr>
        <w:pStyle w:val="ListParagraph"/>
        <w:numPr>
          <w:ilvl w:val="2"/>
          <w:numId w:val="1"/>
        </w:numPr>
        <w:tabs>
          <w:tab w:val="left" w:pos="1822"/>
        </w:tabs>
        <w:jc w:val="both"/>
        <w:rPr>
          <w:sz w:val="24"/>
        </w:rPr>
      </w:pPr>
      <w:r>
        <w:rPr>
          <w:sz w:val="24"/>
        </w:rPr>
        <w:t xml:space="preserve">the implications of </w:t>
      </w:r>
      <w:proofErr w:type="gramStart"/>
      <w:r>
        <w:rPr>
          <w:sz w:val="24"/>
        </w:rPr>
        <w:t>the complementary</w:t>
      </w:r>
      <w:proofErr w:type="gramEnd"/>
      <w:r>
        <w:rPr>
          <w:sz w:val="24"/>
        </w:rPr>
        <w:t xml:space="preserve"> study </w:t>
      </w:r>
      <w:proofErr w:type="gramStart"/>
      <w:r>
        <w:rPr>
          <w:sz w:val="24"/>
        </w:rPr>
        <w:t>in regard to</w:t>
      </w:r>
      <w:proofErr w:type="gramEnd"/>
      <w:r>
        <w:rPr>
          <w:sz w:val="24"/>
        </w:rPr>
        <w:t xml:space="preserve"> any follow-on study vis-à-vis modules which require pre-requisite, co-requisite or compulsory modules for their completion;</w:t>
      </w:r>
      <w:r>
        <w:rPr>
          <w:spacing w:val="60"/>
          <w:sz w:val="24"/>
        </w:rPr>
        <w:t xml:space="preserve"> </w:t>
      </w:r>
      <w:r>
        <w:rPr>
          <w:sz w:val="24"/>
        </w:rPr>
        <w:t>such</w:t>
      </w:r>
    </w:p>
    <w:p w14:paraId="52406D6B" w14:textId="77777777" w:rsidR="00F338D2" w:rsidRDefault="00F338D2">
      <w:pPr>
        <w:jc w:val="both"/>
        <w:rPr>
          <w:sz w:val="24"/>
        </w:rPr>
        <w:sectPr w:rsidR="00F338D2">
          <w:pgSz w:w="11910" w:h="16840"/>
          <w:pgMar w:top="1340" w:right="1680" w:bottom="1260" w:left="1680" w:header="0" w:footer="1078" w:gutter="0"/>
          <w:cols w:space="720"/>
        </w:sectPr>
      </w:pPr>
    </w:p>
    <w:p w14:paraId="0CB27DBD" w14:textId="77777777" w:rsidR="00F338D2" w:rsidRDefault="00CF31EF">
      <w:pPr>
        <w:pStyle w:val="BodyText"/>
        <w:spacing w:before="79"/>
        <w:ind w:left="1822" w:right="121"/>
        <w:jc w:val="both"/>
      </w:pPr>
      <w:r>
        <w:lastRenderedPageBreak/>
        <w:t xml:space="preserve">complementary study must support subsequent study on the validated programme to a similar extent </w:t>
      </w:r>
      <w:proofErr w:type="gramStart"/>
      <w:r>
        <w:t>as</w:t>
      </w:r>
      <w:proofErr w:type="gramEnd"/>
      <w:r>
        <w:t xml:space="preserve"> if the student were to remain at the </w:t>
      </w:r>
      <w:proofErr w:type="gramStart"/>
      <w:r>
        <w:t>University;</w:t>
      </w:r>
      <w:proofErr w:type="gramEnd"/>
    </w:p>
    <w:p w14:paraId="368E634C" w14:textId="77777777" w:rsidR="00F338D2" w:rsidRDefault="00F338D2">
      <w:pPr>
        <w:pStyle w:val="BodyText"/>
        <w:spacing w:before="9"/>
        <w:rPr>
          <w:sz w:val="20"/>
        </w:rPr>
      </w:pPr>
    </w:p>
    <w:p w14:paraId="0F8437D3" w14:textId="77777777" w:rsidR="00F338D2" w:rsidRDefault="00CF31EF">
      <w:pPr>
        <w:pStyle w:val="ListParagraph"/>
        <w:numPr>
          <w:ilvl w:val="2"/>
          <w:numId w:val="1"/>
        </w:numPr>
        <w:tabs>
          <w:tab w:val="left" w:pos="1822"/>
        </w:tabs>
        <w:jc w:val="both"/>
        <w:rPr>
          <w:sz w:val="24"/>
        </w:rPr>
      </w:pPr>
      <w:r>
        <w:rPr>
          <w:sz w:val="24"/>
        </w:rPr>
        <w:t xml:space="preserve">the arrangements for monitoring the </w:t>
      </w:r>
      <w:proofErr w:type="gramStart"/>
      <w:r>
        <w:rPr>
          <w:sz w:val="24"/>
        </w:rPr>
        <w:t>student's</w:t>
      </w:r>
      <w:proofErr w:type="gramEnd"/>
      <w:r>
        <w:rPr>
          <w:sz w:val="24"/>
        </w:rPr>
        <w:t xml:space="preserve"> progress, and communications relating to the</w:t>
      </w:r>
      <w:r>
        <w:rPr>
          <w:spacing w:val="-3"/>
          <w:sz w:val="24"/>
        </w:rPr>
        <w:t xml:space="preserve"> </w:t>
      </w:r>
      <w:proofErr w:type="gramStart"/>
      <w:r>
        <w:rPr>
          <w:sz w:val="24"/>
        </w:rPr>
        <w:t>same;</w:t>
      </w:r>
      <w:proofErr w:type="gramEnd"/>
    </w:p>
    <w:p w14:paraId="5E5E4BA1" w14:textId="77777777" w:rsidR="00F338D2" w:rsidRDefault="00F338D2">
      <w:pPr>
        <w:pStyle w:val="BodyText"/>
        <w:spacing w:before="9"/>
        <w:rPr>
          <w:sz w:val="20"/>
        </w:rPr>
      </w:pPr>
    </w:p>
    <w:p w14:paraId="62883F3F" w14:textId="77777777" w:rsidR="00F338D2" w:rsidRDefault="00CF31EF">
      <w:pPr>
        <w:pStyle w:val="ListParagraph"/>
        <w:numPr>
          <w:ilvl w:val="2"/>
          <w:numId w:val="1"/>
        </w:numPr>
        <w:tabs>
          <w:tab w:val="left" w:pos="1822"/>
        </w:tabs>
        <w:jc w:val="both"/>
        <w:rPr>
          <w:sz w:val="24"/>
        </w:rPr>
      </w:pPr>
      <w:r>
        <w:rPr>
          <w:sz w:val="24"/>
        </w:rPr>
        <w:t>the assessment arrangements and how these will relate to the student's grading and/or degree classification; where marks are to be transferred from the complimentary study which count towards the final classification, then there must be proof that the levels of assessment and marking are equivalent to those used on the validated programme – such as by Cardiff Metropolitan University second marking. Alternatively, it may be agreed with the student that only level 3 marks will count towards the</w:t>
      </w:r>
      <w:r>
        <w:rPr>
          <w:spacing w:val="-3"/>
          <w:sz w:val="24"/>
        </w:rPr>
        <w:t xml:space="preserve"> </w:t>
      </w:r>
      <w:proofErr w:type="gramStart"/>
      <w:r>
        <w:rPr>
          <w:sz w:val="24"/>
        </w:rPr>
        <w:t>classification;</w:t>
      </w:r>
      <w:proofErr w:type="gramEnd"/>
    </w:p>
    <w:p w14:paraId="1FEF32F9" w14:textId="77777777" w:rsidR="00F338D2" w:rsidRDefault="00F338D2">
      <w:pPr>
        <w:pStyle w:val="BodyText"/>
        <w:spacing w:before="9"/>
        <w:rPr>
          <w:sz w:val="20"/>
        </w:rPr>
      </w:pPr>
    </w:p>
    <w:p w14:paraId="36834131" w14:textId="646E7B7B" w:rsidR="00F338D2" w:rsidRDefault="00CF31EF">
      <w:pPr>
        <w:pStyle w:val="ListParagraph"/>
        <w:numPr>
          <w:ilvl w:val="2"/>
          <w:numId w:val="1"/>
        </w:numPr>
        <w:tabs>
          <w:tab w:val="left" w:pos="1809"/>
        </w:tabs>
        <w:ind w:left="1808" w:right="118" w:hanging="554"/>
        <w:jc w:val="both"/>
        <w:rPr>
          <w:sz w:val="24"/>
        </w:rPr>
      </w:pPr>
      <w:r>
        <w:rPr>
          <w:sz w:val="24"/>
        </w:rPr>
        <w:t xml:space="preserve">administrative arrangements, in conjunction </w:t>
      </w:r>
      <w:r w:rsidR="001506BF">
        <w:rPr>
          <w:sz w:val="24"/>
        </w:rPr>
        <w:t>with the</w:t>
      </w:r>
      <w:r>
        <w:rPr>
          <w:sz w:val="24"/>
        </w:rPr>
        <w:t xml:space="preserve"> </w:t>
      </w:r>
      <w:r w:rsidR="00B82869">
        <w:rPr>
          <w:sz w:val="24"/>
        </w:rPr>
        <w:t>Quality Enhancement Directorate</w:t>
      </w:r>
      <w:r>
        <w:rPr>
          <w:sz w:val="24"/>
        </w:rPr>
        <w:t xml:space="preserve"> and Academic</w:t>
      </w:r>
      <w:r>
        <w:rPr>
          <w:spacing w:val="-5"/>
          <w:sz w:val="24"/>
        </w:rPr>
        <w:t xml:space="preserve"> </w:t>
      </w:r>
      <w:r>
        <w:rPr>
          <w:sz w:val="24"/>
        </w:rPr>
        <w:t>Registry.</w:t>
      </w:r>
    </w:p>
    <w:p w14:paraId="6468BA42" w14:textId="77777777" w:rsidR="00F338D2" w:rsidRDefault="00F338D2">
      <w:pPr>
        <w:pStyle w:val="BodyText"/>
        <w:spacing w:before="9"/>
        <w:rPr>
          <w:sz w:val="12"/>
        </w:rPr>
      </w:pPr>
    </w:p>
    <w:p w14:paraId="20BE5E6E" w14:textId="77777777" w:rsidR="00F338D2" w:rsidRDefault="00CF31EF">
      <w:pPr>
        <w:pStyle w:val="Heading2"/>
        <w:numPr>
          <w:ilvl w:val="0"/>
          <w:numId w:val="1"/>
        </w:numPr>
        <w:tabs>
          <w:tab w:val="left" w:pos="687"/>
          <w:tab w:val="left" w:pos="688"/>
        </w:tabs>
        <w:spacing w:before="92"/>
      </w:pPr>
      <w:r>
        <w:t>General</w:t>
      </w:r>
    </w:p>
    <w:p w14:paraId="42395D61" w14:textId="77777777" w:rsidR="00F338D2" w:rsidRDefault="00F338D2">
      <w:pPr>
        <w:pStyle w:val="BodyText"/>
        <w:spacing w:before="9"/>
        <w:rPr>
          <w:b/>
          <w:sz w:val="20"/>
        </w:rPr>
      </w:pPr>
    </w:p>
    <w:p w14:paraId="2DC02DA7" w14:textId="7D840A8D" w:rsidR="00F338D2" w:rsidRDefault="00CF31EF">
      <w:pPr>
        <w:pStyle w:val="ListParagraph"/>
        <w:numPr>
          <w:ilvl w:val="1"/>
          <w:numId w:val="1"/>
        </w:numPr>
        <w:tabs>
          <w:tab w:val="left" w:pos="1255"/>
        </w:tabs>
        <w:ind w:left="1254" w:right="118" w:hanging="566"/>
        <w:jc w:val="both"/>
        <w:rPr>
          <w:sz w:val="24"/>
        </w:rPr>
      </w:pPr>
      <w:r>
        <w:rPr>
          <w:sz w:val="24"/>
        </w:rPr>
        <w:t xml:space="preserve">Instances as exemplified in section 2 should be regarded as exceptional. Where significant numbers of students undertake complementary study outside the programme validation, </w:t>
      </w:r>
      <w:r w:rsidR="001506BF">
        <w:rPr>
          <w:sz w:val="24"/>
        </w:rPr>
        <w:t>such study</w:t>
      </w:r>
      <w:r>
        <w:rPr>
          <w:sz w:val="24"/>
        </w:rPr>
        <w:t xml:space="preserve"> should be the subject of a programme validation</w:t>
      </w:r>
      <w:r>
        <w:rPr>
          <w:spacing w:val="-7"/>
          <w:sz w:val="24"/>
        </w:rPr>
        <w:t xml:space="preserve"> </w:t>
      </w:r>
      <w:r>
        <w:rPr>
          <w:sz w:val="24"/>
        </w:rPr>
        <w:t>event.</w:t>
      </w:r>
    </w:p>
    <w:p w14:paraId="40A42A39" w14:textId="77777777" w:rsidR="00F338D2" w:rsidRDefault="00F338D2">
      <w:pPr>
        <w:pStyle w:val="BodyText"/>
        <w:spacing w:before="9"/>
        <w:rPr>
          <w:sz w:val="20"/>
        </w:rPr>
      </w:pPr>
    </w:p>
    <w:p w14:paraId="74F49C47" w14:textId="77777777" w:rsidR="00F338D2" w:rsidRDefault="00CF31EF">
      <w:pPr>
        <w:pStyle w:val="Heading2"/>
        <w:numPr>
          <w:ilvl w:val="0"/>
          <w:numId w:val="1"/>
        </w:numPr>
        <w:tabs>
          <w:tab w:val="left" w:pos="687"/>
          <w:tab w:val="left" w:pos="688"/>
        </w:tabs>
      </w:pPr>
      <w:r>
        <w:t>Approval</w:t>
      </w:r>
      <w:r>
        <w:rPr>
          <w:spacing w:val="-4"/>
        </w:rPr>
        <w:t xml:space="preserve"> </w:t>
      </w:r>
      <w:r>
        <w:t>Process</w:t>
      </w:r>
    </w:p>
    <w:p w14:paraId="671C4C3F" w14:textId="77777777" w:rsidR="00F338D2" w:rsidRDefault="00F338D2">
      <w:pPr>
        <w:pStyle w:val="BodyText"/>
        <w:spacing w:before="9"/>
        <w:rPr>
          <w:b/>
          <w:sz w:val="20"/>
        </w:rPr>
      </w:pPr>
    </w:p>
    <w:p w14:paraId="43A601DA" w14:textId="77777777" w:rsidR="00F338D2" w:rsidRDefault="00CF31EF">
      <w:pPr>
        <w:pStyle w:val="ListParagraph"/>
        <w:numPr>
          <w:ilvl w:val="1"/>
          <w:numId w:val="1"/>
        </w:numPr>
        <w:tabs>
          <w:tab w:val="left" w:pos="1255"/>
        </w:tabs>
        <w:ind w:left="1254" w:hanging="566"/>
        <w:jc w:val="both"/>
        <w:rPr>
          <w:sz w:val="24"/>
        </w:rPr>
      </w:pPr>
      <w:r>
        <w:rPr>
          <w:sz w:val="24"/>
        </w:rPr>
        <w:t>The approval for Complementary Study and Assessment for Individual Students is at the discretion of Programme Committees, with the written consent of the Dean of School and with the written approval of the External</w:t>
      </w:r>
      <w:r>
        <w:rPr>
          <w:spacing w:val="-6"/>
          <w:sz w:val="24"/>
        </w:rPr>
        <w:t xml:space="preserve"> </w:t>
      </w:r>
      <w:r>
        <w:rPr>
          <w:sz w:val="24"/>
        </w:rPr>
        <w:t>Examiner.</w:t>
      </w:r>
    </w:p>
    <w:p w14:paraId="52A1D06D" w14:textId="77777777" w:rsidR="00F338D2" w:rsidRDefault="00F338D2">
      <w:pPr>
        <w:pStyle w:val="BodyText"/>
        <w:spacing w:before="8"/>
        <w:rPr>
          <w:sz w:val="20"/>
        </w:rPr>
      </w:pPr>
    </w:p>
    <w:p w14:paraId="24C5C356" w14:textId="4B7628E9" w:rsidR="00F338D2" w:rsidRDefault="00CF31EF">
      <w:pPr>
        <w:pStyle w:val="ListParagraph"/>
        <w:numPr>
          <w:ilvl w:val="1"/>
          <w:numId w:val="1"/>
        </w:numPr>
        <w:tabs>
          <w:tab w:val="left" w:pos="1255"/>
        </w:tabs>
        <w:ind w:left="1254" w:right="116" w:hanging="566"/>
        <w:jc w:val="both"/>
        <w:rPr>
          <w:sz w:val="24"/>
        </w:rPr>
      </w:pPr>
      <w:r>
        <w:rPr>
          <w:sz w:val="24"/>
        </w:rPr>
        <w:t xml:space="preserve">The Dean of School and External Examiner should receive and approve as appropriate, written information of proposals for individual students, to include the arrangements for meeting the requirements given in section 2 and upon approval must send the details, including copies of the written Dean of School consent and External Examiner approval to the </w:t>
      </w:r>
      <w:r w:rsidR="00B82869">
        <w:rPr>
          <w:sz w:val="24"/>
        </w:rPr>
        <w:t xml:space="preserve">Quality Enhancement Directorate </w:t>
      </w:r>
      <w:r>
        <w:rPr>
          <w:sz w:val="24"/>
        </w:rPr>
        <w:t>for appropriate</w:t>
      </w:r>
      <w:r>
        <w:rPr>
          <w:spacing w:val="-6"/>
          <w:sz w:val="24"/>
        </w:rPr>
        <w:t xml:space="preserve"> </w:t>
      </w:r>
      <w:r>
        <w:rPr>
          <w:sz w:val="24"/>
        </w:rPr>
        <w:t>recording.</w:t>
      </w:r>
    </w:p>
    <w:sectPr w:rsidR="00F338D2">
      <w:pgSz w:w="11910" w:h="16840"/>
      <w:pgMar w:top="1340" w:right="1680" w:bottom="1260" w:left="1680" w:header="0"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D54F" w14:textId="77777777" w:rsidR="00FA2539" w:rsidRDefault="00FA2539">
      <w:r>
        <w:separator/>
      </w:r>
    </w:p>
  </w:endnote>
  <w:endnote w:type="continuationSeparator" w:id="0">
    <w:p w14:paraId="04C0C9D6" w14:textId="77777777" w:rsidR="00FA2539" w:rsidRDefault="00FA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ED7D" w14:textId="0595796A" w:rsidR="00F338D2" w:rsidRDefault="000A393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EB5EE1" wp14:editId="29ED0996">
              <wp:simplePos x="0" y="0"/>
              <wp:positionH relativeFrom="page">
                <wp:posOffset>1203960</wp:posOffset>
              </wp:positionH>
              <wp:positionV relativeFrom="page">
                <wp:posOffset>9867900</wp:posOffset>
              </wp:positionV>
              <wp:extent cx="5152390" cy="63119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39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6DDC" w14:textId="6DF3187E" w:rsidR="00F338D2" w:rsidRDefault="00CF31EF">
                          <w:pPr>
                            <w:spacing w:before="14"/>
                            <w:ind w:left="19" w:right="18"/>
                            <w:jc w:val="center"/>
                            <w:rPr>
                              <w:sz w:val="16"/>
                            </w:rPr>
                          </w:pPr>
                          <w:r>
                            <w:rPr>
                              <w:sz w:val="16"/>
                            </w:rPr>
                            <w:t>Academic Handbook 20</w:t>
                          </w:r>
                          <w:r w:rsidR="00C21660">
                            <w:rPr>
                              <w:sz w:val="16"/>
                            </w:rPr>
                            <w:t>2</w:t>
                          </w:r>
                          <w:r w:rsidR="00F924AF">
                            <w:rPr>
                              <w:sz w:val="16"/>
                            </w:rPr>
                            <w:t>5</w:t>
                          </w:r>
                          <w:r>
                            <w:rPr>
                              <w:sz w:val="16"/>
                            </w:rPr>
                            <w:t>/2</w:t>
                          </w:r>
                          <w:r w:rsidR="00F924AF">
                            <w:rPr>
                              <w:sz w:val="16"/>
                            </w:rPr>
                            <w:t>6</w:t>
                          </w:r>
                          <w:r>
                            <w:rPr>
                              <w:sz w:val="16"/>
                            </w:rPr>
                            <w:t xml:space="preserve"> – Volume 2 - 09.5 -Complementary Study and Assessment at Overseas Institutions: Variations to Validated Programmes for Individual Students – modified 22.09.08, 31.10.11, 23.11.11, 20.09.17</w:t>
                          </w:r>
                          <w:r w:rsidR="00B82869">
                            <w:rPr>
                              <w:sz w:val="16"/>
                            </w:rPr>
                            <w:t>; 30.09.19</w:t>
                          </w:r>
                        </w:p>
                        <w:p w14:paraId="67E3601E" w14:textId="5684DCFD" w:rsidR="00F338D2" w:rsidRDefault="00CF31EF">
                          <w:pPr>
                            <w:spacing w:before="97"/>
                            <w:ind w:left="87"/>
                            <w:jc w:val="center"/>
                            <w:rPr>
                              <w:sz w:val="20"/>
                            </w:rPr>
                          </w:pPr>
                          <w:r>
                            <w:fldChar w:fldCharType="begin"/>
                          </w:r>
                          <w:r>
                            <w:rPr>
                              <w:sz w:val="20"/>
                            </w:rPr>
                            <w:instrText xml:space="preserve"> PAGE </w:instrText>
                          </w:r>
                          <w:r>
                            <w:fldChar w:fldCharType="separate"/>
                          </w:r>
                          <w:r w:rsidR="00E92414">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B5EE1" id="_x0000_t202" coordsize="21600,21600" o:spt="202" path="m,l,21600r21600,l21600,xe">
              <v:stroke joinstyle="miter"/>
              <v:path gradientshapeok="t" o:connecttype="rect"/>
            </v:shapetype>
            <v:shape id="Text Box 1" o:spid="_x0000_s1026" type="#_x0000_t202" style="position:absolute;margin-left:94.8pt;margin-top:777pt;width:405.7pt;height:49.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" filled="f" stroked="f">
              <v:textbox inset="0,0,0,0">
                <w:txbxContent>
                  <w:p w14:paraId="27E06DDC" w14:textId="6DF3187E" w:rsidR="00F338D2" w:rsidRDefault="00CF31EF">
                    <w:pPr>
                      <w:spacing w:before="14"/>
                      <w:ind w:left="19" w:right="18"/>
                      <w:jc w:val="center"/>
                      <w:rPr>
                        <w:sz w:val="16"/>
                      </w:rPr>
                    </w:pPr>
                    <w:r>
                      <w:rPr>
                        <w:sz w:val="16"/>
                      </w:rPr>
                      <w:t>Academic Handbook 20</w:t>
                    </w:r>
                    <w:r w:rsidR="00C21660">
                      <w:rPr>
                        <w:sz w:val="16"/>
                      </w:rPr>
                      <w:t>2</w:t>
                    </w:r>
                    <w:r w:rsidR="00F924AF">
                      <w:rPr>
                        <w:sz w:val="16"/>
                      </w:rPr>
                      <w:t>5</w:t>
                    </w:r>
                    <w:r>
                      <w:rPr>
                        <w:sz w:val="16"/>
                      </w:rPr>
                      <w:t>/2</w:t>
                    </w:r>
                    <w:r w:rsidR="00F924AF">
                      <w:rPr>
                        <w:sz w:val="16"/>
                      </w:rPr>
                      <w:t>6</w:t>
                    </w:r>
                    <w:r>
                      <w:rPr>
                        <w:sz w:val="16"/>
                      </w:rPr>
                      <w:t xml:space="preserve"> – Volume 2 - 09.5 -Complementary Study and Assessment at Overseas Institutions: Variations to Validated Programmes for Individual Students – modified 22.09.08, 31.10.11, 23.11.11, 20.09.17</w:t>
                    </w:r>
                    <w:r w:rsidR="00B82869">
                      <w:rPr>
                        <w:sz w:val="16"/>
                      </w:rPr>
                      <w:t>; 30.09.19</w:t>
                    </w:r>
                  </w:p>
                  <w:p w14:paraId="67E3601E" w14:textId="5684DCFD" w:rsidR="00F338D2" w:rsidRDefault="00CF31EF">
                    <w:pPr>
                      <w:spacing w:before="97"/>
                      <w:ind w:left="87"/>
                      <w:jc w:val="center"/>
                      <w:rPr>
                        <w:sz w:val="20"/>
                      </w:rPr>
                    </w:pPr>
                    <w:r>
                      <w:fldChar w:fldCharType="begin"/>
                    </w:r>
                    <w:r>
                      <w:rPr>
                        <w:sz w:val="20"/>
                      </w:rPr>
                      <w:instrText xml:space="preserve"> PAGE </w:instrText>
                    </w:r>
                    <w:r>
                      <w:fldChar w:fldCharType="separate"/>
                    </w:r>
                    <w:r w:rsidR="00E92414">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78D8" w14:textId="77777777" w:rsidR="00FA2539" w:rsidRDefault="00FA2539">
      <w:r>
        <w:separator/>
      </w:r>
    </w:p>
  </w:footnote>
  <w:footnote w:type="continuationSeparator" w:id="0">
    <w:p w14:paraId="57FFECAD" w14:textId="77777777" w:rsidR="00FA2539" w:rsidRDefault="00FA2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45F52"/>
    <w:multiLevelType w:val="multilevel"/>
    <w:tmpl w:val="1BDC2D32"/>
    <w:lvl w:ilvl="0">
      <w:start w:val="1"/>
      <w:numFmt w:val="decimal"/>
      <w:lvlText w:val="%1"/>
      <w:lvlJc w:val="left"/>
      <w:pPr>
        <w:ind w:left="688" w:hanging="568"/>
        <w:jc w:val="left"/>
      </w:pPr>
      <w:rPr>
        <w:rFonts w:ascii="Arial" w:eastAsia="Arial" w:hAnsi="Arial" w:cs="Arial" w:hint="default"/>
        <w:w w:val="99"/>
        <w:sz w:val="24"/>
        <w:szCs w:val="24"/>
      </w:rPr>
    </w:lvl>
    <w:lvl w:ilvl="1">
      <w:start w:val="1"/>
      <w:numFmt w:val="decimal"/>
      <w:lvlText w:val="%1.%2"/>
      <w:lvlJc w:val="left"/>
      <w:pPr>
        <w:ind w:left="1260" w:hanging="570"/>
        <w:jc w:val="left"/>
      </w:pPr>
      <w:rPr>
        <w:rFonts w:ascii="Arial" w:eastAsia="Arial" w:hAnsi="Arial" w:cs="Arial" w:hint="default"/>
        <w:w w:val="99"/>
        <w:sz w:val="24"/>
        <w:szCs w:val="24"/>
      </w:rPr>
    </w:lvl>
    <w:lvl w:ilvl="2">
      <w:start w:val="1"/>
      <w:numFmt w:val="lowerRoman"/>
      <w:lvlText w:val="(%3)"/>
      <w:lvlJc w:val="left"/>
      <w:pPr>
        <w:ind w:left="1822" w:hanging="568"/>
        <w:jc w:val="left"/>
      </w:pPr>
      <w:rPr>
        <w:rFonts w:ascii="Arial" w:eastAsia="Arial" w:hAnsi="Arial" w:cs="Arial" w:hint="default"/>
        <w:w w:val="99"/>
        <w:sz w:val="24"/>
        <w:szCs w:val="24"/>
      </w:rPr>
    </w:lvl>
    <w:lvl w:ilvl="3">
      <w:numFmt w:val="bullet"/>
      <w:lvlText w:val="•"/>
      <w:lvlJc w:val="left"/>
      <w:pPr>
        <w:ind w:left="2660" w:hanging="568"/>
      </w:pPr>
      <w:rPr>
        <w:rFonts w:hint="default"/>
      </w:rPr>
    </w:lvl>
    <w:lvl w:ilvl="4">
      <w:numFmt w:val="bullet"/>
      <w:lvlText w:val="•"/>
      <w:lvlJc w:val="left"/>
      <w:pPr>
        <w:ind w:left="3501" w:hanging="568"/>
      </w:pPr>
      <w:rPr>
        <w:rFonts w:hint="default"/>
      </w:rPr>
    </w:lvl>
    <w:lvl w:ilvl="5">
      <w:numFmt w:val="bullet"/>
      <w:lvlText w:val="•"/>
      <w:lvlJc w:val="left"/>
      <w:pPr>
        <w:ind w:left="4342" w:hanging="568"/>
      </w:pPr>
      <w:rPr>
        <w:rFonts w:hint="default"/>
      </w:rPr>
    </w:lvl>
    <w:lvl w:ilvl="6">
      <w:numFmt w:val="bullet"/>
      <w:lvlText w:val="•"/>
      <w:lvlJc w:val="left"/>
      <w:pPr>
        <w:ind w:left="5183" w:hanging="568"/>
      </w:pPr>
      <w:rPr>
        <w:rFonts w:hint="default"/>
      </w:rPr>
    </w:lvl>
    <w:lvl w:ilvl="7">
      <w:numFmt w:val="bullet"/>
      <w:lvlText w:val="•"/>
      <w:lvlJc w:val="left"/>
      <w:pPr>
        <w:ind w:left="6024" w:hanging="568"/>
      </w:pPr>
      <w:rPr>
        <w:rFonts w:hint="default"/>
      </w:rPr>
    </w:lvl>
    <w:lvl w:ilvl="8">
      <w:numFmt w:val="bullet"/>
      <w:lvlText w:val="•"/>
      <w:lvlJc w:val="left"/>
      <w:pPr>
        <w:ind w:left="6864" w:hanging="568"/>
      </w:pPr>
      <w:rPr>
        <w:rFonts w:hint="default"/>
      </w:rPr>
    </w:lvl>
  </w:abstractNum>
  <w:num w:numId="1" w16cid:durableId="128372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D2"/>
    <w:rsid w:val="000657BC"/>
    <w:rsid w:val="000A1DC8"/>
    <w:rsid w:val="000A3930"/>
    <w:rsid w:val="001506BF"/>
    <w:rsid w:val="001D0C6D"/>
    <w:rsid w:val="00274B23"/>
    <w:rsid w:val="002A5076"/>
    <w:rsid w:val="003A214A"/>
    <w:rsid w:val="003D6CA1"/>
    <w:rsid w:val="00443615"/>
    <w:rsid w:val="004A17C9"/>
    <w:rsid w:val="007104E7"/>
    <w:rsid w:val="00766E40"/>
    <w:rsid w:val="00783C99"/>
    <w:rsid w:val="009016DB"/>
    <w:rsid w:val="00B82869"/>
    <w:rsid w:val="00BB3F02"/>
    <w:rsid w:val="00C21660"/>
    <w:rsid w:val="00CB6819"/>
    <w:rsid w:val="00CF31EF"/>
    <w:rsid w:val="00D46F88"/>
    <w:rsid w:val="00E22099"/>
    <w:rsid w:val="00E616D7"/>
    <w:rsid w:val="00E66D16"/>
    <w:rsid w:val="00E92414"/>
    <w:rsid w:val="00F338D2"/>
    <w:rsid w:val="00F924AF"/>
    <w:rsid w:val="00FA2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A93E"/>
  <w15:docId w15:val="{F2B10119-A1F7-4764-9373-FCD88893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0"/>
      <w:ind w:left="485" w:right="484"/>
      <w:jc w:val="center"/>
      <w:outlineLvl w:val="0"/>
    </w:pPr>
    <w:rPr>
      <w:b/>
      <w:bCs/>
      <w:sz w:val="48"/>
      <w:szCs w:val="48"/>
    </w:rPr>
  </w:style>
  <w:style w:type="paragraph" w:styleId="Heading2">
    <w:name w:val="heading 2"/>
    <w:basedOn w:val="Normal"/>
    <w:uiPriority w:val="1"/>
    <w:qFormat/>
    <w:pPr>
      <w:ind w:left="688" w:hanging="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54" w:right="117" w:hanging="56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869"/>
    <w:pPr>
      <w:tabs>
        <w:tab w:val="center" w:pos="4513"/>
        <w:tab w:val="right" w:pos="9026"/>
      </w:tabs>
    </w:pPr>
  </w:style>
  <w:style w:type="character" w:customStyle="1" w:styleId="HeaderChar">
    <w:name w:val="Header Char"/>
    <w:basedOn w:val="DefaultParagraphFont"/>
    <w:link w:val="Header"/>
    <w:uiPriority w:val="99"/>
    <w:rsid w:val="00B82869"/>
    <w:rPr>
      <w:rFonts w:ascii="Arial" w:eastAsia="Arial" w:hAnsi="Arial" w:cs="Arial"/>
    </w:rPr>
  </w:style>
  <w:style w:type="paragraph" w:styleId="Footer">
    <w:name w:val="footer"/>
    <w:basedOn w:val="Normal"/>
    <w:link w:val="FooterChar"/>
    <w:uiPriority w:val="99"/>
    <w:unhideWhenUsed/>
    <w:rsid w:val="00B82869"/>
    <w:pPr>
      <w:tabs>
        <w:tab w:val="center" w:pos="4513"/>
        <w:tab w:val="right" w:pos="9026"/>
      </w:tabs>
    </w:pPr>
  </w:style>
  <w:style w:type="character" w:customStyle="1" w:styleId="FooterChar">
    <w:name w:val="Footer Char"/>
    <w:basedOn w:val="DefaultParagraphFont"/>
    <w:link w:val="Footer"/>
    <w:uiPriority w:val="99"/>
    <w:rsid w:val="00B828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F0AC2-6B86-4E51-810C-F4C9D672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648078-383E-479E-AEE1-5CDB82E1BA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374BBF-1AB1-4F70-BC5D-7DCAED324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617</Words>
  <Characters>3549</Characters>
  <Application>Microsoft Office Word</Application>
  <DocSecurity>0</DocSecurity>
  <Lines>120</Lines>
  <Paragraphs>23</Paragraphs>
  <ScaleCrop>false</ScaleCrop>
  <HeadingPairs>
    <vt:vector size="2" baseType="variant">
      <vt:variant>
        <vt:lpstr>Title</vt:lpstr>
      </vt:variant>
      <vt:variant>
        <vt:i4>1</vt:i4>
      </vt:variant>
    </vt:vector>
  </HeadingPairs>
  <TitlesOfParts>
    <vt:vector size="1" baseType="lpstr">
      <vt:lpstr>09-05_COMPLEMENTARY_STUDY_AND_ASSESSMENT_AT_OVERSEAS_INSTITUTIONS.doc</vt:lpstr>
    </vt:vector>
  </TitlesOfParts>
  <Company>Cardiff Met</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09-05_COMPLEMENTARY_STUDY_AND_ASSESSMENT_AT_OVERSEAS_INSTITUTIONS.doc</dc:title>
  <dc:creator>ISD</dc:creator>
  <cp:lastModifiedBy>Wildsmith, Duncan</cp:lastModifiedBy>
  <cp:revision>10</cp:revision>
  <dcterms:created xsi:type="dcterms:W3CDTF">2022-03-16T15:33:00Z</dcterms:created>
  <dcterms:modified xsi:type="dcterms:W3CDTF">2026-04-01T11:13:00Z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0x010100EF36D09BF0B18A478A59D10A0E70415C</vt:lpwstr>
  </property>
</Properties>
</file>