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EA80" w14:textId="77777777" w:rsidR="0099739F" w:rsidRDefault="0099739F" w:rsidP="0099739F">
      <w:pPr>
        <w:pStyle w:val="BodyText"/>
        <w:rPr>
          <w:rFonts w:ascii="Times New Roman"/>
          <w:sz w:val="20"/>
        </w:rPr>
      </w:pPr>
    </w:p>
    <w:p w14:paraId="7A81F881" w14:textId="77777777" w:rsidR="0099739F" w:rsidRDefault="0099739F" w:rsidP="0099739F">
      <w:pPr>
        <w:pStyle w:val="BodyText"/>
        <w:rPr>
          <w:rFonts w:ascii="Times New Roman"/>
          <w:sz w:val="20"/>
        </w:rPr>
      </w:pPr>
    </w:p>
    <w:p w14:paraId="67275C0E" w14:textId="77777777" w:rsidR="0099739F" w:rsidRDefault="0099739F" w:rsidP="0099739F">
      <w:pPr>
        <w:pStyle w:val="BodyText"/>
        <w:rPr>
          <w:rFonts w:ascii="Times New Roman"/>
          <w:sz w:val="20"/>
        </w:rPr>
      </w:pPr>
    </w:p>
    <w:p w14:paraId="6C037434" w14:textId="77777777" w:rsidR="0099739F" w:rsidRDefault="0099739F" w:rsidP="0099739F">
      <w:pPr>
        <w:pStyle w:val="BodyText"/>
        <w:rPr>
          <w:rFonts w:ascii="Times New Roman"/>
          <w:sz w:val="20"/>
        </w:rPr>
      </w:pPr>
    </w:p>
    <w:p w14:paraId="5B8DD70A" w14:textId="77777777" w:rsidR="0099739F" w:rsidRDefault="0099739F" w:rsidP="0099739F">
      <w:pPr>
        <w:pStyle w:val="BodyText"/>
        <w:rPr>
          <w:rFonts w:ascii="Times New Roman"/>
          <w:sz w:val="20"/>
        </w:rPr>
      </w:pPr>
    </w:p>
    <w:p w14:paraId="6B7F870D" w14:textId="77777777" w:rsidR="0099739F" w:rsidRDefault="0099739F" w:rsidP="0099739F">
      <w:pPr>
        <w:pStyle w:val="BodyText"/>
        <w:rPr>
          <w:rFonts w:ascii="Times New Roman"/>
          <w:sz w:val="20"/>
        </w:rPr>
      </w:pPr>
    </w:p>
    <w:p w14:paraId="166CF78F" w14:textId="77777777" w:rsidR="0099739F" w:rsidRDefault="0099739F" w:rsidP="0099739F">
      <w:pPr>
        <w:pStyle w:val="BodyText"/>
        <w:rPr>
          <w:rFonts w:ascii="Times New Roman"/>
          <w:sz w:val="20"/>
        </w:rPr>
      </w:pPr>
    </w:p>
    <w:p w14:paraId="6D61E9E9" w14:textId="77777777" w:rsidR="0099739F" w:rsidRDefault="0099739F" w:rsidP="0099739F">
      <w:pPr>
        <w:pStyle w:val="BodyText"/>
        <w:rPr>
          <w:rFonts w:ascii="Times New Roman"/>
          <w:sz w:val="20"/>
        </w:rPr>
      </w:pPr>
    </w:p>
    <w:p w14:paraId="60577BFD" w14:textId="77777777" w:rsidR="0099739F" w:rsidRDefault="0099739F" w:rsidP="0099739F">
      <w:pPr>
        <w:pStyle w:val="BodyText"/>
        <w:rPr>
          <w:rFonts w:ascii="Times New Roman"/>
          <w:sz w:val="20"/>
        </w:rPr>
      </w:pPr>
    </w:p>
    <w:p w14:paraId="173C8BEE" w14:textId="77777777" w:rsidR="0099739F" w:rsidRDefault="0099739F" w:rsidP="0099739F">
      <w:pPr>
        <w:pStyle w:val="BodyText"/>
        <w:rPr>
          <w:rFonts w:ascii="Times New Roman"/>
          <w:sz w:val="20"/>
        </w:rPr>
      </w:pPr>
    </w:p>
    <w:p w14:paraId="08D0D5F9" w14:textId="77777777" w:rsidR="0099739F" w:rsidRDefault="0099739F" w:rsidP="0099739F">
      <w:pPr>
        <w:pStyle w:val="BodyText"/>
        <w:rPr>
          <w:rFonts w:ascii="Times New Roman"/>
          <w:sz w:val="20"/>
        </w:rPr>
      </w:pPr>
    </w:p>
    <w:p w14:paraId="4EAD60E3" w14:textId="77777777" w:rsidR="0099739F" w:rsidRDefault="0099739F" w:rsidP="0099739F">
      <w:pPr>
        <w:pStyle w:val="BodyText"/>
        <w:rPr>
          <w:rFonts w:ascii="Times New Roman"/>
          <w:sz w:val="20"/>
        </w:rPr>
      </w:pPr>
    </w:p>
    <w:p w14:paraId="6C6ABD7A" w14:textId="77777777" w:rsidR="0099739F" w:rsidRDefault="0099739F" w:rsidP="0099739F">
      <w:pPr>
        <w:pStyle w:val="BodyText"/>
        <w:rPr>
          <w:rFonts w:ascii="Times New Roman"/>
          <w:sz w:val="20"/>
        </w:rPr>
      </w:pPr>
    </w:p>
    <w:p w14:paraId="55F3E96E" w14:textId="77777777" w:rsidR="0099739F" w:rsidRDefault="0099739F" w:rsidP="0099739F">
      <w:pPr>
        <w:pStyle w:val="BodyText"/>
        <w:rPr>
          <w:rFonts w:ascii="Times New Roman"/>
          <w:sz w:val="20"/>
        </w:rPr>
      </w:pPr>
    </w:p>
    <w:p w14:paraId="094F0166" w14:textId="77777777" w:rsidR="0099739F" w:rsidRDefault="0099739F" w:rsidP="0099739F">
      <w:pPr>
        <w:pStyle w:val="BodyText"/>
        <w:rPr>
          <w:rFonts w:ascii="Times New Roman"/>
          <w:sz w:val="20"/>
        </w:rPr>
      </w:pPr>
    </w:p>
    <w:p w14:paraId="2DDADB73" w14:textId="706FCDFA" w:rsidR="0099739F" w:rsidRDefault="0099739F" w:rsidP="0099739F">
      <w:pPr>
        <w:pStyle w:val="BodyText"/>
        <w:rPr>
          <w:rFonts w:ascii="Times New Roman"/>
          <w:sz w:val="20"/>
        </w:rPr>
      </w:pPr>
    </w:p>
    <w:p w14:paraId="40219388" w14:textId="77777777" w:rsidR="0099739F" w:rsidRDefault="0099739F" w:rsidP="0099739F">
      <w:pPr>
        <w:pStyle w:val="BodyText"/>
        <w:rPr>
          <w:rFonts w:ascii="Times New Roman"/>
          <w:sz w:val="20"/>
        </w:rPr>
      </w:pPr>
    </w:p>
    <w:p w14:paraId="05B37476" w14:textId="174DA1EA" w:rsidR="0099739F" w:rsidRDefault="0099739F" w:rsidP="0099739F">
      <w:pPr>
        <w:pStyle w:val="BodyText"/>
        <w:rPr>
          <w:rFonts w:ascii="Times New Roman"/>
          <w:sz w:val="20"/>
        </w:rPr>
      </w:pPr>
    </w:p>
    <w:p w14:paraId="14775876" w14:textId="2618CF44" w:rsidR="0099739F" w:rsidRDefault="0099739F" w:rsidP="0099739F">
      <w:pPr>
        <w:pStyle w:val="BodyText"/>
        <w:spacing w:before="10"/>
        <w:rPr>
          <w:rFonts w:ascii="Times New Roman"/>
          <w:sz w:val="26"/>
        </w:rPr>
      </w:pPr>
    </w:p>
    <w:p w14:paraId="41896DF9" w14:textId="20E9655F" w:rsidR="0099739F" w:rsidRPr="0099739F" w:rsidRDefault="0099739F" w:rsidP="0099739F">
      <w:pPr>
        <w:spacing w:before="85"/>
        <w:ind w:left="645" w:right="643"/>
        <w:jc w:val="center"/>
        <w:rPr>
          <w:rFonts w:ascii="Arial" w:hAnsi="Arial" w:cs="Arial"/>
          <w:b/>
          <w:sz w:val="48"/>
        </w:rPr>
      </w:pPr>
      <w:r>
        <w:rPr>
          <w:rFonts w:ascii="Arial" w:hAnsi="Arial" w:cs="Arial"/>
          <w:b/>
          <w:sz w:val="48"/>
        </w:rPr>
        <w:t>09.8</w:t>
      </w:r>
    </w:p>
    <w:p w14:paraId="504CD1C2" w14:textId="60017FDD" w:rsidR="0099739F" w:rsidRPr="0099739F" w:rsidRDefault="0099739F" w:rsidP="0099739F">
      <w:pPr>
        <w:spacing w:before="240" w:line="343" w:lineRule="auto"/>
        <w:ind w:left="646" w:right="643"/>
        <w:jc w:val="center"/>
        <w:rPr>
          <w:rFonts w:ascii="Arial" w:hAnsi="Arial" w:cs="Arial"/>
          <w:b/>
          <w:sz w:val="48"/>
        </w:rPr>
      </w:pPr>
      <w:r>
        <w:rPr>
          <w:rFonts w:ascii="Arial" w:hAnsi="Arial" w:cs="Arial"/>
          <w:b/>
          <w:sz w:val="48"/>
        </w:rPr>
        <w:t xml:space="preserve">DUE DILIGENCE PROCESS TEMPLATE: TNE </w:t>
      </w:r>
      <w:r w:rsidRPr="0099739F">
        <w:rPr>
          <w:rFonts w:ascii="Arial" w:hAnsi="Arial" w:cs="Arial"/>
          <w:b/>
          <w:sz w:val="48"/>
        </w:rPr>
        <w:t>COLLABORATI</w:t>
      </w:r>
      <w:r>
        <w:rPr>
          <w:rFonts w:ascii="Arial" w:hAnsi="Arial" w:cs="Arial"/>
          <w:b/>
          <w:sz w:val="48"/>
        </w:rPr>
        <w:t>ON</w:t>
      </w:r>
    </w:p>
    <w:p w14:paraId="1E18B597" w14:textId="77777777" w:rsidR="0099739F" w:rsidRDefault="0099739F">
      <w:pPr>
        <w:rPr>
          <w:b/>
          <w:sz w:val="28"/>
          <w:szCs w:val="28"/>
        </w:rPr>
      </w:pPr>
    </w:p>
    <w:p w14:paraId="23620208" w14:textId="77777777" w:rsidR="0099739F" w:rsidRDefault="0099739F">
      <w:pPr>
        <w:rPr>
          <w:b/>
          <w:sz w:val="28"/>
          <w:szCs w:val="28"/>
        </w:rPr>
      </w:pPr>
    </w:p>
    <w:p w14:paraId="21BC55A3" w14:textId="77777777" w:rsidR="0099739F" w:rsidRDefault="0099739F">
      <w:pPr>
        <w:rPr>
          <w:b/>
          <w:sz w:val="28"/>
          <w:szCs w:val="28"/>
        </w:rPr>
      </w:pPr>
    </w:p>
    <w:p w14:paraId="6EDB36C3" w14:textId="77777777" w:rsidR="0099739F" w:rsidRDefault="0099739F">
      <w:pPr>
        <w:rPr>
          <w:b/>
          <w:sz w:val="28"/>
          <w:szCs w:val="28"/>
        </w:rPr>
      </w:pPr>
    </w:p>
    <w:p w14:paraId="699CE9BE" w14:textId="77777777" w:rsidR="0099739F" w:rsidRDefault="0099739F">
      <w:pPr>
        <w:rPr>
          <w:b/>
          <w:sz w:val="28"/>
          <w:szCs w:val="28"/>
        </w:rPr>
      </w:pPr>
    </w:p>
    <w:p w14:paraId="39E784AD" w14:textId="77777777" w:rsidR="0099739F" w:rsidRDefault="0099739F">
      <w:pPr>
        <w:rPr>
          <w:b/>
          <w:sz w:val="28"/>
          <w:szCs w:val="28"/>
        </w:rPr>
      </w:pPr>
    </w:p>
    <w:p w14:paraId="19F576F0" w14:textId="77777777" w:rsidR="0099739F" w:rsidRDefault="0099739F">
      <w:pPr>
        <w:rPr>
          <w:b/>
          <w:sz w:val="28"/>
          <w:szCs w:val="28"/>
        </w:rPr>
      </w:pPr>
    </w:p>
    <w:p w14:paraId="5B8E2BE9" w14:textId="77777777" w:rsidR="0099739F" w:rsidRDefault="0099739F">
      <w:pPr>
        <w:rPr>
          <w:b/>
          <w:sz w:val="28"/>
          <w:szCs w:val="28"/>
        </w:rPr>
      </w:pPr>
    </w:p>
    <w:p w14:paraId="02408315" w14:textId="77777777" w:rsidR="0099739F" w:rsidRDefault="0099739F">
      <w:pPr>
        <w:rPr>
          <w:b/>
          <w:sz w:val="28"/>
          <w:szCs w:val="28"/>
        </w:rPr>
      </w:pPr>
    </w:p>
    <w:p w14:paraId="6B9796CB" w14:textId="77777777" w:rsidR="0099739F" w:rsidRDefault="0099739F">
      <w:pPr>
        <w:rPr>
          <w:b/>
          <w:sz w:val="28"/>
          <w:szCs w:val="28"/>
        </w:rPr>
      </w:pPr>
    </w:p>
    <w:p w14:paraId="17F3BE8C" w14:textId="01413F23" w:rsidR="009A664D" w:rsidRDefault="009A664D" w:rsidP="001629B6">
      <w:pPr>
        <w:tabs>
          <w:tab w:val="left" w:pos="2114"/>
        </w:tabs>
        <w:rPr>
          <w:b/>
          <w:sz w:val="28"/>
          <w:szCs w:val="28"/>
        </w:rPr>
      </w:pPr>
    </w:p>
    <w:p w14:paraId="5279AB7F" w14:textId="631AD895" w:rsidR="003550F7" w:rsidRPr="003550F7" w:rsidRDefault="0031040E">
      <w:pPr>
        <w:rPr>
          <w:b/>
          <w:sz w:val="28"/>
          <w:szCs w:val="28"/>
        </w:rPr>
      </w:pPr>
      <w:r w:rsidRPr="003550F7">
        <w:rPr>
          <w:b/>
          <w:sz w:val="28"/>
          <w:szCs w:val="28"/>
        </w:rPr>
        <w:lastRenderedPageBreak/>
        <w:t>Due Diligence Process Template</w:t>
      </w:r>
      <w:r w:rsidR="003550F7" w:rsidRPr="003550F7">
        <w:rPr>
          <w:b/>
          <w:sz w:val="28"/>
          <w:szCs w:val="28"/>
        </w:rPr>
        <w:t xml:space="preserve">: </w:t>
      </w:r>
      <w:r w:rsidR="00780642" w:rsidRPr="003550F7">
        <w:rPr>
          <w:b/>
          <w:sz w:val="28"/>
          <w:szCs w:val="28"/>
        </w:rPr>
        <w:t xml:space="preserve">TNE </w:t>
      </w:r>
      <w:r w:rsidR="0035536A" w:rsidRPr="003550F7">
        <w:rPr>
          <w:b/>
          <w:sz w:val="28"/>
          <w:szCs w:val="28"/>
        </w:rPr>
        <w:t>Collaboration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02"/>
        <w:gridCol w:w="4638"/>
        <w:gridCol w:w="1497"/>
        <w:gridCol w:w="1218"/>
        <w:gridCol w:w="961"/>
      </w:tblGrid>
      <w:tr w:rsidR="000C3E6B" w:rsidRPr="00907D72" w14:paraId="4BE65759" w14:textId="77777777" w:rsidTr="000C3E6B">
        <w:tc>
          <w:tcPr>
            <w:tcW w:w="390" w:type="pct"/>
            <w:shd w:val="clear" w:color="auto" w:fill="D9D9D9" w:themeFill="background1" w:themeFillShade="D9"/>
          </w:tcPr>
          <w:p w14:paraId="20B4F6B6" w14:textId="77777777" w:rsidR="000C3E6B" w:rsidRPr="00907D72" w:rsidRDefault="000C3E6B">
            <w:pPr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2571" w:type="pct"/>
            <w:shd w:val="clear" w:color="auto" w:fill="D9D9D9" w:themeFill="background1" w:themeFillShade="D9"/>
          </w:tcPr>
          <w:p w14:paraId="59697A35" w14:textId="77777777" w:rsidR="000C3E6B" w:rsidRPr="00907D72" w:rsidRDefault="000C3E6B">
            <w:pPr>
              <w:rPr>
                <w:b/>
              </w:rPr>
            </w:pPr>
            <w:r w:rsidRPr="00907D72">
              <w:rPr>
                <w:b/>
              </w:rPr>
              <w:t xml:space="preserve">Activity </w:t>
            </w:r>
          </w:p>
          <w:p w14:paraId="3E823824" w14:textId="77777777" w:rsidR="000C3E6B" w:rsidRPr="00907D72" w:rsidRDefault="000C3E6B">
            <w:pPr>
              <w:rPr>
                <w:b/>
              </w:rPr>
            </w:pPr>
          </w:p>
        </w:tc>
        <w:tc>
          <w:tcPr>
            <w:tcW w:w="830" w:type="pct"/>
            <w:shd w:val="clear" w:color="auto" w:fill="D9D9D9" w:themeFill="background1" w:themeFillShade="D9"/>
          </w:tcPr>
          <w:p w14:paraId="24B0A4B5" w14:textId="77777777" w:rsidR="000C3E6B" w:rsidRPr="00907D72" w:rsidRDefault="000C3E6B">
            <w:pPr>
              <w:rPr>
                <w:b/>
              </w:rPr>
            </w:pPr>
            <w:r w:rsidRPr="00907D72">
              <w:rPr>
                <w:b/>
              </w:rPr>
              <w:t xml:space="preserve">Responsibility </w:t>
            </w:r>
          </w:p>
          <w:p w14:paraId="27AB6F40" w14:textId="77777777" w:rsidR="000C3E6B" w:rsidRPr="00907D72" w:rsidRDefault="000C3E6B">
            <w:pPr>
              <w:rPr>
                <w:b/>
              </w:rPr>
            </w:pPr>
          </w:p>
        </w:tc>
        <w:tc>
          <w:tcPr>
            <w:tcW w:w="675" w:type="pct"/>
            <w:shd w:val="clear" w:color="auto" w:fill="D9D9D9" w:themeFill="background1" w:themeFillShade="D9"/>
          </w:tcPr>
          <w:p w14:paraId="76D7A644" w14:textId="77777777" w:rsidR="000C3E6B" w:rsidRDefault="000C3E6B">
            <w:pPr>
              <w:rPr>
                <w:b/>
              </w:rPr>
            </w:pPr>
            <w:r w:rsidRPr="00907D72">
              <w:rPr>
                <w:b/>
              </w:rPr>
              <w:t xml:space="preserve">Action </w:t>
            </w:r>
          </w:p>
          <w:p w14:paraId="4A126B80" w14:textId="77777777" w:rsidR="000C3E6B" w:rsidRPr="00907D72" w:rsidRDefault="000C3E6B">
            <w:pPr>
              <w:rPr>
                <w:b/>
              </w:rPr>
            </w:pPr>
            <w:r w:rsidRPr="00907D72">
              <w:rPr>
                <w:b/>
              </w:rPr>
              <w:t xml:space="preserve">Completed </w:t>
            </w:r>
          </w:p>
        </w:tc>
        <w:tc>
          <w:tcPr>
            <w:tcW w:w="533" w:type="pct"/>
            <w:shd w:val="clear" w:color="auto" w:fill="D9D9D9" w:themeFill="background1" w:themeFillShade="D9"/>
          </w:tcPr>
          <w:p w14:paraId="3FB2DD73" w14:textId="77777777" w:rsidR="000C3E6B" w:rsidRPr="00907D72" w:rsidRDefault="000C3E6B">
            <w:pPr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0C3E6B" w14:paraId="320B8C73" w14:textId="77777777" w:rsidTr="000C3E6B">
        <w:tc>
          <w:tcPr>
            <w:tcW w:w="390" w:type="pct"/>
          </w:tcPr>
          <w:p w14:paraId="5EB1D19D" w14:textId="77777777" w:rsidR="000C3E6B" w:rsidRDefault="000C3E6B" w:rsidP="002F4067">
            <w:r>
              <w:t>1</w:t>
            </w:r>
          </w:p>
        </w:tc>
        <w:tc>
          <w:tcPr>
            <w:tcW w:w="2571" w:type="pct"/>
          </w:tcPr>
          <w:p w14:paraId="66C35D88" w14:textId="77777777" w:rsidR="000C3E6B" w:rsidRDefault="000C3E6B" w:rsidP="002F4067">
            <w:r>
              <w:t>Preliminary business case to be completed and include:</w:t>
            </w:r>
          </w:p>
          <w:p w14:paraId="6FE82104" w14:textId="77777777" w:rsidR="000C3E6B" w:rsidRDefault="000C3E6B" w:rsidP="002F4067">
            <w:pPr>
              <w:pStyle w:val="ListParagraph"/>
              <w:numPr>
                <w:ilvl w:val="0"/>
                <w:numId w:val="1"/>
              </w:numPr>
            </w:pPr>
            <w:r>
              <w:t>Alignment of geo-political context and values of the institution</w:t>
            </w:r>
          </w:p>
          <w:p w14:paraId="374784E6" w14:textId="77777777" w:rsidR="000C3E6B" w:rsidRDefault="000C3E6B" w:rsidP="002F4067">
            <w:pPr>
              <w:pStyle w:val="ListParagraph"/>
              <w:numPr>
                <w:ilvl w:val="0"/>
                <w:numId w:val="1"/>
              </w:numPr>
            </w:pPr>
            <w:r>
              <w:t>Alignment with strategic plan priorities</w:t>
            </w:r>
          </w:p>
          <w:p w14:paraId="4DC23B81" w14:textId="77777777" w:rsidR="000C3E6B" w:rsidRDefault="000C3E6B" w:rsidP="00DE6A8C">
            <w:pPr>
              <w:pStyle w:val="ListParagraph"/>
              <w:numPr>
                <w:ilvl w:val="0"/>
                <w:numId w:val="1"/>
              </w:numPr>
            </w:pPr>
            <w:r>
              <w:t>Potential for on – campus recruitment opportunities</w:t>
            </w:r>
          </w:p>
        </w:tc>
        <w:tc>
          <w:tcPr>
            <w:tcW w:w="830" w:type="pct"/>
          </w:tcPr>
          <w:p w14:paraId="2F719670" w14:textId="77777777" w:rsidR="000C3E6B" w:rsidRDefault="000C3E6B">
            <w:r>
              <w:t>GED/School</w:t>
            </w:r>
          </w:p>
        </w:tc>
        <w:tc>
          <w:tcPr>
            <w:tcW w:w="675" w:type="pct"/>
          </w:tcPr>
          <w:p w14:paraId="33A5009C" w14:textId="77777777" w:rsidR="000C3E6B" w:rsidRDefault="000C3E6B"/>
        </w:tc>
        <w:tc>
          <w:tcPr>
            <w:tcW w:w="533" w:type="pct"/>
          </w:tcPr>
          <w:p w14:paraId="5C1523CE" w14:textId="77777777" w:rsidR="000C3E6B" w:rsidRDefault="000C3E6B"/>
        </w:tc>
      </w:tr>
      <w:tr w:rsidR="000C3E6B" w14:paraId="3FBE038D" w14:textId="77777777" w:rsidTr="000C3E6B">
        <w:tc>
          <w:tcPr>
            <w:tcW w:w="390" w:type="pct"/>
          </w:tcPr>
          <w:p w14:paraId="0017DFDD" w14:textId="77777777" w:rsidR="000C3E6B" w:rsidRDefault="000C3E6B" w:rsidP="004D2FF8">
            <w:r>
              <w:t>2</w:t>
            </w:r>
          </w:p>
        </w:tc>
        <w:tc>
          <w:tcPr>
            <w:tcW w:w="2571" w:type="pct"/>
          </w:tcPr>
          <w:p w14:paraId="2EF3CAB9" w14:textId="77777777" w:rsidR="000C3E6B" w:rsidRDefault="000C3E6B" w:rsidP="004D2FF8">
            <w:r>
              <w:t>Inform Secretariat that a new partner is being considered for contractual preparation purposes.</w:t>
            </w:r>
          </w:p>
        </w:tc>
        <w:tc>
          <w:tcPr>
            <w:tcW w:w="830" w:type="pct"/>
          </w:tcPr>
          <w:p w14:paraId="59B4DFD7" w14:textId="77777777" w:rsidR="000C3E6B" w:rsidRDefault="000C3E6B">
            <w:r>
              <w:t>GED/School</w:t>
            </w:r>
          </w:p>
        </w:tc>
        <w:tc>
          <w:tcPr>
            <w:tcW w:w="675" w:type="pct"/>
          </w:tcPr>
          <w:p w14:paraId="0AFC3145" w14:textId="77777777" w:rsidR="000C3E6B" w:rsidRDefault="000C3E6B"/>
        </w:tc>
        <w:tc>
          <w:tcPr>
            <w:tcW w:w="533" w:type="pct"/>
          </w:tcPr>
          <w:p w14:paraId="07FAE8B4" w14:textId="77777777" w:rsidR="000C3E6B" w:rsidRDefault="000C3E6B"/>
        </w:tc>
      </w:tr>
      <w:tr w:rsidR="000C3E6B" w14:paraId="1AD9C067" w14:textId="77777777" w:rsidTr="000C3E6B">
        <w:tc>
          <w:tcPr>
            <w:tcW w:w="390" w:type="pct"/>
          </w:tcPr>
          <w:p w14:paraId="779B20F8" w14:textId="77777777" w:rsidR="000C3E6B" w:rsidRDefault="000C3E6B" w:rsidP="004D2FF8">
            <w:r>
              <w:t>3</w:t>
            </w:r>
          </w:p>
        </w:tc>
        <w:tc>
          <w:tcPr>
            <w:tcW w:w="2571" w:type="pct"/>
          </w:tcPr>
          <w:p w14:paraId="154CC7C0" w14:textId="77777777" w:rsidR="000C3E6B" w:rsidRDefault="000C3E6B" w:rsidP="004D2FF8">
            <w:r>
              <w:t xml:space="preserve">Local In-country Ministry Approval guidelines and associated regulations suitably </w:t>
            </w:r>
            <w:proofErr w:type="gramStart"/>
            <w:r>
              <w:t>evidenced</w:t>
            </w:r>
            <w:proofErr w:type="gramEnd"/>
            <w:r>
              <w:t xml:space="preserve"> and reputation of proposed institution sourced by British Council.</w:t>
            </w:r>
          </w:p>
        </w:tc>
        <w:tc>
          <w:tcPr>
            <w:tcW w:w="830" w:type="pct"/>
          </w:tcPr>
          <w:p w14:paraId="3D97DBC1" w14:textId="77777777" w:rsidR="000C3E6B" w:rsidRDefault="000C3E6B">
            <w:r>
              <w:t>GED</w:t>
            </w:r>
          </w:p>
        </w:tc>
        <w:tc>
          <w:tcPr>
            <w:tcW w:w="675" w:type="pct"/>
          </w:tcPr>
          <w:p w14:paraId="05D64E23" w14:textId="77777777" w:rsidR="000C3E6B" w:rsidRDefault="000C3E6B"/>
        </w:tc>
        <w:tc>
          <w:tcPr>
            <w:tcW w:w="533" w:type="pct"/>
          </w:tcPr>
          <w:p w14:paraId="09805216" w14:textId="77777777" w:rsidR="000C3E6B" w:rsidRDefault="000C3E6B"/>
        </w:tc>
      </w:tr>
      <w:tr w:rsidR="000C3E6B" w14:paraId="3C91008E" w14:textId="77777777" w:rsidTr="000C3E6B">
        <w:tc>
          <w:tcPr>
            <w:tcW w:w="390" w:type="pct"/>
          </w:tcPr>
          <w:p w14:paraId="2EB701EA" w14:textId="77777777" w:rsidR="000C3E6B" w:rsidRDefault="000C3E6B" w:rsidP="003550F7">
            <w:r>
              <w:t>4</w:t>
            </w:r>
          </w:p>
        </w:tc>
        <w:tc>
          <w:tcPr>
            <w:tcW w:w="2571" w:type="pct"/>
          </w:tcPr>
          <w:p w14:paraId="3DD14753" w14:textId="77777777" w:rsidR="000C3E6B" w:rsidRDefault="000C3E6B" w:rsidP="003550F7">
            <w:r>
              <w:t>In discussion with Finance, complete the Finance TNE Business Case checklist.</w:t>
            </w:r>
          </w:p>
        </w:tc>
        <w:tc>
          <w:tcPr>
            <w:tcW w:w="830" w:type="pct"/>
          </w:tcPr>
          <w:p w14:paraId="20AA0269" w14:textId="77777777" w:rsidR="000C3E6B" w:rsidRDefault="000C3E6B">
            <w:r>
              <w:t>GED/School</w:t>
            </w:r>
          </w:p>
          <w:p w14:paraId="352B4605" w14:textId="77777777" w:rsidR="000C3E6B" w:rsidRDefault="000C3E6B"/>
        </w:tc>
        <w:tc>
          <w:tcPr>
            <w:tcW w:w="675" w:type="pct"/>
          </w:tcPr>
          <w:p w14:paraId="5829F96B" w14:textId="77777777" w:rsidR="000C3E6B" w:rsidRDefault="000C3E6B"/>
        </w:tc>
        <w:tc>
          <w:tcPr>
            <w:tcW w:w="533" w:type="pct"/>
          </w:tcPr>
          <w:p w14:paraId="5D526246" w14:textId="77777777" w:rsidR="000C3E6B" w:rsidRDefault="000C3E6B"/>
        </w:tc>
      </w:tr>
      <w:tr w:rsidR="000C3E6B" w14:paraId="7A8F5923" w14:textId="77777777" w:rsidTr="000C3E6B">
        <w:tc>
          <w:tcPr>
            <w:tcW w:w="390" w:type="pct"/>
          </w:tcPr>
          <w:p w14:paraId="21CF1B5C" w14:textId="77777777" w:rsidR="000C3E6B" w:rsidRDefault="000C3E6B">
            <w:r>
              <w:t>5</w:t>
            </w:r>
          </w:p>
        </w:tc>
        <w:tc>
          <w:tcPr>
            <w:tcW w:w="2571" w:type="pct"/>
          </w:tcPr>
          <w:p w14:paraId="21594EBF" w14:textId="77777777" w:rsidR="000C3E6B" w:rsidRDefault="000C3E6B">
            <w:r>
              <w:t>All supporting documentation and preliminary business case to be submitted to PDC for approval.</w:t>
            </w:r>
          </w:p>
        </w:tc>
        <w:tc>
          <w:tcPr>
            <w:tcW w:w="830" w:type="pct"/>
          </w:tcPr>
          <w:p w14:paraId="7A2EC34F" w14:textId="77777777" w:rsidR="000C3E6B" w:rsidRDefault="000C3E6B">
            <w:r>
              <w:t>GED/School/</w:t>
            </w:r>
          </w:p>
          <w:p w14:paraId="6F07AA4D" w14:textId="77777777" w:rsidR="000C3E6B" w:rsidRDefault="000C3E6B">
            <w:r>
              <w:t>PDC</w:t>
            </w:r>
          </w:p>
        </w:tc>
        <w:tc>
          <w:tcPr>
            <w:tcW w:w="675" w:type="pct"/>
          </w:tcPr>
          <w:p w14:paraId="141D4EE0" w14:textId="77777777" w:rsidR="000C3E6B" w:rsidRDefault="000C3E6B"/>
        </w:tc>
        <w:tc>
          <w:tcPr>
            <w:tcW w:w="533" w:type="pct"/>
          </w:tcPr>
          <w:p w14:paraId="4367A770" w14:textId="77777777" w:rsidR="000C3E6B" w:rsidRDefault="000C3E6B"/>
        </w:tc>
      </w:tr>
      <w:tr w:rsidR="000C3E6B" w14:paraId="3E022878" w14:textId="77777777" w:rsidTr="000C3E6B">
        <w:tc>
          <w:tcPr>
            <w:tcW w:w="390" w:type="pct"/>
          </w:tcPr>
          <w:p w14:paraId="685B91AB" w14:textId="77777777" w:rsidR="000C3E6B" w:rsidRDefault="000C3E6B">
            <w:r>
              <w:t>6</w:t>
            </w:r>
          </w:p>
        </w:tc>
        <w:tc>
          <w:tcPr>
            <w:tcW w:w="2571" w:type="pct"/>
          </w:tcPr>
          <w:p w14:paraId="1BF03400" w14:textId="77777777" w:rsidR="000C3E6B" w:rsidRDefault="000C3E6B">
            <w:r>
              <w:t>Subject to PDC approval IVV to take place and report submitted to PDC for further approval.</w:t>
            </w:r>
          </w:p>
        </w:tc>
        <w:tc>
          <w:tcPr>
            <w:tcW w:w="830" w:type="pct"/>
          </w:tcPr>
          <w:p w14:paraId="6907A689" w14:textId="77777777" w:rsidR="000C3E6B" w:rsidRDefault="000C3E6B">
            <w:r>
              <w:t>GED/School/</w:t>
            </w:r>
          </w:p>
          <w:p w14:paraId="658CBAFF" w14:textId="77777777" w:rsidR="000C3E6B" w:rsidRDefault="000C3E6B">
            <w:r>
              <w:t>PDC</w:t>
            </w:r>
          </w:p>
        </w:tc>
        <w:tc>
          <w:tcPr>
            <w:tcW w:w="675" w:type="pct"/>
          </w:tcPr>
          <w:p w14:paraId="62EEB1AF" w14:textId="77777777" w:rsidR="000C3E6B" w:rsidRDefault="000C3E6B"/>
        </w:tc>
        <w:tc>
          <w:tcPr>
            <w:tcW w:w="533" w:type="pct"/>
          </w:tcPr>
          <w:p w14:paraId="7A2379BC" w14:textId="77777777" w:rsidR="000C3E6B" w:rsidRDefault="000C3E6B"/>
        </w:tc>
      </w:tr>
      <w:tr w:rsidR="000C3E6B" w14:paraId="19E2BC98" w14:textId="77777777" w:rsidTr="000C3E6B">
        <w:tc>
          <w:tcPr>
            <w:tcW w:w="390" w:type="pct"/>
          </w:tcPr>
          <w:p w14:paraId="73D75124" w14:textId="77777777" w:rsidR="000C3E6B" w:rsidRDefault="000C3E6B" w:rsidP="003253B8">
            <w:r>
              <w:t>7</w:t>
            </w:r>
          </w:p>
        </w:tc>
        <w:tc>
          <w:tcPr>
            <w:tcW w:w="2571" w:type="pct"/>
          </w:tcPr>
          <w:p w14:paraId="2650D235" w14:textId="77777777" w:rsidR="000C3E6B" w:rsidRDefault="000C3E6B" w:rsidP="003253B8">
            <w:r>
              <w:t>Outline academic case submitted to PEG for approval.</w:t>
            </w:r>
          </w:p>
        </w:tc>
        <w:tc>
          <w:tcPr>
            <w:tcW w:w="830" w:type="pct"/>
          </w:tcPr>
          <w:p w14:paraId="059D061C" w14:textId="77777777" w:rsidR="000C3E6B" w:rsidRDefault="000C3E6B" w:rsidP="003253B8">
            <w:r>
              <w:t>School</w:t>
            </w:r>
          </w:p>
        </w:tc>
        <w:tc>
          <w:tcPr>
            <w:tcW w:w="675" w:type="pct"/>
          </w:tcPr>
          <w:p w14:paraId="74002541" w14:textId="77777777" w:rsidR="000C3E6B" w:rsidRDefault="000C3E6B" w:rsidP="003253B8"/>
        </w:tc>
        <w:tc>
          <w:tcPr>
            <w:tcW w:w="533" w:type="pct"/>
          </w:tcPr>
          <w:p w14:paraId="44A21A96" w14:textId="77777777" w:rsidR="000C3E6B" w:rsidRDefault="000C3E6B" w:rsidP="003253B8"/>
        </w:tc>
      </w:tr>
      <w:tr w:rsidR="000C3E6B" w14:paraId="39BCE278" w14:textId="77777777" w:rsidTr="000C3E6B">
        <w:tc>
          <w:tcPr>
            <w:tcW w:w="390" w:type="pct"/>
          </w:tcPr>
          <w:p w14:paraId="2A69CD5D" w14:textId="77777777" w:rsidR="000C3E6B" w:rsidRDefault="000C3E6B">
            <w:r>
              <w:t>8</w:t>
            </w:r>
          </w:p>
        </w:tc>
        <w:tc>
          <w:tcPr>
            <w:tcW w:w="2571" w:type="pct"/>
          </w:tcPr>
          <w:p w14:paraId="37F840D4" w14:textId="77777777" w:rsidR="000C3E6B" w:rsidRDefault="000C3E6B">
            <w:r>
              <w:t>QED notified of approval and officer assigned to take forward approval event.</w:t>
            </w:r>
          </w:p>
        </w:tc>
        <w:tc>
          <w:tcPr>
            <w:tcW w:w="830" w:type="pct"/>
          </w:tcPr>
          <w:p w14:paraId="49DBC8E6" w14:textId="77777777" w:rsidR="000C3E6B" w:rsidRDefault="000C3E6B">
            <w:r>
              <w:t>GED/QED</w:t>
            </w:r>
          </w:p>
        </w:tc>
        <w:tc>
          <w:tcPr>
            <w:tcW w:w="675" w:type="pct"/>
          </w:tcPr>
          <w:p w14:paraId="0FB70F20" w14:textId="77777777" w:rsidR="000C3E6B" w:rsidRDefault="000C3E6B"/>
        </w:tc>
        <w:tc>
          <w:tcPr>
            <w:tcW w:w="533" w:type="pct"/>
          </w:tcPr>
          <w:p w14:paraId="7CCC03DB" w14:textId="77777777" w:rsidR="000C3E6B" w:rsidRDefault="000C3E6B"/>
        </w:tc>
      </w:tr>
      <w:tr w:rsidR="000C3E6B" w14:paraId="137C07DD" w14:textId="77777777" w:rsidTr="000C3E6B">
        <w:tc>
          <w:tcPr>
            <w:tcW w:w="390" w:type="pct"/>
          </w:tcPr>
          <w:p w14:paraId="1E48DD74" w14:textId="77777777" w:rsidR="000C3E6B" w:rsidRDefault="000C3E6B">
            <w:r>
              <w:t>9</w:t>
            </w:r>
          </w:p>
        </w:tc>
        <w:tc>
          <w:tcPr>
            <w:tcW w:w="2571" w:type="pct"/>
          </w:tcPr>
          <w:p w14:paraId="6C646608" w14:textId="77777777" w:rsidR="000C3E6B" w:rsidRDefault="000C3E6B">
            <w:r>
              <w:t>Validation event held and:</w:t>
            </w:r>
          </w:p>
          <w:p w14:paraId="62AB3844" w14:textId="77777777" w:rsidR="000C3E6B" w:rsidRDefault="000C3E6B" w:rsidP="00DD7091">
            <w:pPr>
              <w:pStyle w:val="ListParagraph"/>
              <w:numPr>
                <w:ilvl w:val="0"/>
                <w:numId w:val="2"/>
              </w:numPr>
            </w:pPr>
            <w:r>
              <w:t>Academic approval given</w:t>
            </w:r>
          </w:p>
          <w:p w14:paraId="5D9A702D" w14:textId="77777777" w:rsidR="000C3E6B" w:rsidRDefault="000C3E6B" w:rsidP="00DD7091">
            <w:pPr>
              <w:pStyle w:val="ListParagraph"/>
              <w:numPr>
                <w:ilvl w:val="0"/>
                <w:numId w:val="2"/>
              </w:numPr>
            </w:pPr>
            <w:r>
              <w:t>Academic approval given with conditions</w:t>
            </w:r>
          </w:p>
          <w:p w14:paraId="08CE68A2" w14:textId="77777777" w:rsidR="000C3E6B" w:rsidRDefault="000C3E6B" w:rsidP="008F0C15">
            <w:pPr>
              <w:pStyle w:val="ListParagraph"/>
              <w:numPr>
                <w:ilvl w:val="0"/>
                <w:numId w:val="2"/>
              </w:numPr>
            </w:pPr>
            <w:r>
              <w:t>Programmes not approved</w:t>
            </w:r>
          </w:p>
        </w:tc>
        <w:tc>
          <w:tcPr>
            <w:tcW w:w="830" w:type="pct"/>
          </w:tcPr>
          <w:p w14:paraId="7190D31C" w14:textId="77777777" w:rsidR="000C3E6B" w:rsidRDefault="000C3E6B">
            <w:r>
              <w:t>GED/School/</w:t>
            </w:r>
          </w:p>
          <w:p w14:paraId="5BFFC538" w14:textId="77777777" w:rsidR="000C3E6B" w:rsidRDefault="000C3E6B">
            <w:r>
              <w:t>QED</w:t>
            </w:r>
          </w:p>
        </w:tc>
        <w:tc>
          <w:tcPr>
            <w:tcW w:w="675" w:type="pct"/>
          </w:tcPr>
          <w:p w14:paraId="7E3DCC7B" w14:textId="77777777" w:rsidR="000C3E6B" w:rsidRDefault="000C3E6B"/>
        </w:tc>
        <w:tc>
          <w:tcPr>
            <w:tcW w:w="533" w:type="pct"/>
          </w:tcPr>
          <w:p w14:paraId="23DA9467" w14:textId="77777777" w:rsidR="000C3E6B" w:rsidRDefault="000C3E6B"/>
        </w:tc>
      </w:tr>
      <w:tr w:rsidR="000C3E6B" w14:paraId="3B29E892" w14:textId="77777777" w:rsidTr="000C3E6B">
        <w:tc>
          <w:tcPr>
            <w:tcW w:w="390" w:type="pct"/>
          </w:tcPr>
          <w:p w14:paraId="184677F6" w14:textId="77777777" w:rsidR="000C3E6B" w:rsidRDefault="000C3E6B" w:rsidP="003253B8">
            <w:r>
              <w:t>10</w:t>
            </w:r>
          </w:p>
        </w:tc>
        <w:tc>
          <w:tcPr>
            <w:tcW w:w="2571" w:type="pct"/>
          </w:tcPr>
          <w:p w14:paraId="6274E791" w14:textId="77777777" w:rsidR="000C3E6B" w:rsidRDefault="000C3E6B" w:rsidP="003253B8">
            <w:r>
              <w:t xml:space="preserve">Any outstanding in-country approval/ministry requirements met. </w:t>
            </w:r>
          </w:p>
        </w:tc>
        <w:tc>
          <w:tcPr>
            <w:tcW w:w="830" w:type="pct"/>
          </w:tcPr>
          <w:p w14:paraId="39E47F4A" w14:textId="77777777" w:rsidR="000C3E6B" w:rsidRDefault="000C3E6B" w:rsidP="003253B8">
            <w:r>
              <w:t>GED/School</w:t>
            </w:r>
          </w:p>
        </w:tc>
        <w:tc>
          <w:tcPr>
            <w:tcW w:w="675" w:type="pct"/>
          </w:tcPr>
          <w:p w14:paraId="0DF41D04" w14:textId="77777777" w:rsidR="000C3E6B" w:rsidRDefault="000C3E6B" w:rsidP="003253B8"/>
        </w:tc>
        <w:tc>
          <w:tcPr>
            <w:tcW w:w="533" w:type="pct"/>
          </w:tcPr>
          <w:p w14:paraId="6909E1D7" w14:textId="77777777" w:rsidR="000C3E6B" w:rsidRDefault="000C3E6B" w:rsidP="003253B8"/>
        </w:tc>
      </w:tr>
      <w:tr w:rsidR="000C3E6B" w14:paraId="0B7242DA" w14:textId="77777777" w:rsidTr="000C3E6B">
        <w:tc>
          <w:tcPr>
            <w:tcW w:w="390" w:type="pct"/>
          </w:tcPr>
          <w:p w14:paraId="51CBFF5B" w14:textId="77777777" w:rsidR="000C3E6B" w:rsidRDefault="000C3E6B">
            <w:r>
              <w:t>11</w:t>
            </w:r>
          </w:p>
        </w:tc>
        <w:tc>
          <w:tcPr>
            <w:tcW w:w="2571" w:type="pct"/>
          </w:tcPr>
          <w:p w14:paraId="1A10297E" w14:textId="77777777" w:rsidR="000C3E6B" w:rsidRDefault="000C3E6B">
            <w:r>
              <w:t>Completion of draft contract by Procurement. Contractual terms to be decided by Secretariat in liaison with collaborative instigator.</w:t>
            </w:r>
          </w:p>
        </w:tc>
        <w:tc>
          <w:tcPr>
            <w:tcW w:w="830" w:type="pct"/>
          </w:tcPr>
          <w:p w14:paraId="79147BAB" w14:textId="77777777" w:rsidR="000C3E6B" w:rsidRDefault="000C3E6B">
            <w:r>
              <w:t>GED/School/</w:t>
            </w:r>
          </w:p>
          <w:p w14:paraId="21D95878" w14:textId="77777777" w:rsidR="000C3E6B" w:rsidRDefault="000C3E6B">
            <w:r>
              <w:t>Secretariat</w:t>
            </w:r>
          </w:p>
        </w:tc>
        <w:tc>
          <w:tcPr>
            <w:tcW w:w="675" w:type="pct"/>
          </w:tcPr>
          <w:p w14:paraId="2A23A51F" w14:textId="77777777" w:rsidR="000C3E6B" w:rsidRDefault="000C3E6B"/>
        </w:tc>
        <w:tc>
          <w:tcPr>
            <w:tcW w:w="533" w:type="pct"/>
          </w:tcPr>
          <w:p w14:paraId="34827293" w14:textId="77777777" w:rsidR="000C3E6B" w:rsidRDefault="000C3E6B"/>
        </w:tc>
      </w:tr>
    </w:tbl>
    <w:p w14:paraId="397B69AE" w14:textId="77777777" w:rsidR="003550F7" w:rsidRDefault="003550F7">
      <w:pPr>
        <w:rPr>
          <w:b/>
        </w:rPr>
      </w:pPr>
      <w:r>
        <w:rPr>
          <w:b/>
        </w:rPr>
        <w:br w:type="page"/>
      </w:r>
    </w:p>
    <w:p w14:paraId="4E9212CC" w14:textId="77777777" w:rsidR="00EE4246" w:rsidRPr="003550F7" w:rsidRDefault="003550F7" w:rsidP="008C264C">
      <w:pPr>
        <w:jc w:val="both"/>
        <w:rPr>
          <w:b/>
          <w:sz w:val="28"/>
          <w:szCs w:val="28"/>
        </w:rPr>
      </w:pPr>
      <w:r w:rsidRPr="003550F7">
        <w:rPr>
          <w:b/>
          <w:sz w:val="28"/>
          <w:szCs w:val="28"/>
        </w:rPr>
        <w:lastRenderedPageBreak/>
        <w:t>Finance TNE Business Case Checklist</w:t>
      </w:r>
    </w:p>
    <w:p w14:paraId="54E80D1A" w14:textId="77777777" w:rsidR="003550F7" w:rsidRDefault="00B42DF8" w:rsidP="008C264C">
      <w:pPr>
        <w:jc w:val="both"/>
        <w:rPr>
          <w:b/>
        </w:rPr>
      </w:pPr>
      <w:r>
        <w:rPr>
          <w:b/>
        </w:rPr>
        <w:t>Global Engagement Directorate and School to work in partnership to complete the following steps:</w:t>
      </w:r>
    </w:p>
    <w:p w14:paraId="654B74FC" w14:textId="77777777" w:rsidR="003550F7" w:rsidRPr="004B5129" w:rsidRDefault="003550F7" w:rsidP="008C264C">
      <w:pPr>
        <w:pStyle w:val="ListParagraph"/>
        <w:numPr>
          <w:ilvl w:val="0"/>
          <w:numId w:val="3"/>
        </w:numPr>
        <w:spacing w:after="0"/>
        <w:jc w:val="both"/>
        <w:rPr>
          <w:b/>
        </w:rPr>
      </w:pPr>
      <w:r w:rsidRPr="004B5129">
        <w:rPr>
          <w:b/>
        </w:rPr>
        <w:t xml:space="preserve">Due Diligence </w:t>
      </w:r>
      <w:r>
        <w:rPr>
          <w:b/>
        </w:rPr>
        <w:t>for new partners</w:t>
      </w:r>
    </w:p>
    <w:p w14:paraId="1AD3DFE2" w14:textId="77777777" w:rsidR="003550F7" w:rsidRDefault="00B42DF8" w:rsidP="008C264C">
      <w:pPr>
        <w:pStyle w:val="ListParagraph"/>
        <w:numPr>
          <w:ilvl w:val="1"/>
          <w:numId w:val="3"/>
        </w:numPr>
        <w:spacing w:after="0"/>
        <w:jc w:val="both"/>
      </w:pPr>
      <w:r>
        <w:t>GED/School to contact D</w:t>
      </w:r>
      <w:r w:rsidR="003550F7" w:rsidRPr="00900BA7">
        <w:t>irector of Finance</w:t>
      </w:r>
      <w:r w:rsidR="003550F7">
        <w:t xml:space="preserve"> </w:t>
      </w:r>
      <w:r w:rsidR="00FC301A">
        <w:t xml:space="preserve">and Head of Procurement </w:t>
      </w:r>
      <w:r w:rsidR="003550F7">
        <w:t xml:space="preserve">to action a review </w:t>
      </w:r>
      <w:r w:rsidR="00FB2866">
        <w:t>of</w:t>
      </w:r>
      <w:r w:rsidR="003550F7">
        <w:t xml:space="preserve"> the financial standing/confidence in the proposed partner.</w:t>
      </w:r>
      <w:r w:rsidR="00FB2866">
        <w:t xml:space="preserve"> GED to get appropriate documents from proposed partner.</w:t>
      </w:r>
    </w:p>
    <w:p w14:paraId="4D40B000" w14:textId="77777777" w:rsidR="003550F7" w:rsidRDefault="003550F7" w:rsidP="008C264C">
      <w:pPr>
        <w:pStyle w:val="ListParagraph"/>
        <w:numPr>
          <w:ilvl w:val="1"/>
          <w:numId w:val="3"/>
        </w:numPr>
        <w:spacing w:after="0"/>
        <w:jc w:val="both"/>
      </w:pPr>
      <w:r>
        <w:t>Follow the same for existing partner name changes.</w:t>
      </w:r>
    </w:p>
    <w:p w14:paraId="1251DD10" w14:textId="77777777" w:rsidR="003550F7" w:rsidRDefault="003550F7" w:rsidP="008C264C">
      <w:pPr>
        <w:spacing w:after="0"/>
        <w:jc w:val="both"/>
      </w:pPr>
    </w:p>
    <w:p w14:paraId="699A6CB3" w14:textId="77777777" w:rsidR="003550F7" w:rsidRPr="004B5129" w:rsidRDefault="003550F7" w:rsidP="008C264C">
      <w:pPr>
        <w:pStyle w:val="ListParagraph"/>
        <w:numPr>
          <w:ilvl w:val="0"/>
          <w:numId w:val="3"/>
        </w:numPr>
        <w:spacing w:after="0"/>
        <w:jc w:val="both"/>
        <w:rPr>
          <w:b/>
        </w:rPr>
      </w:pPr>
      <w:r w:rsidRPr="004B5129">
        <w:rPr>
          <w:b/>
        </w:rPr>
        <w:t>Income</w:t>
      </w:r>
    </w:p>
    <w:p w14:paraId="64491094" w14:textId="77777777" w:rsidR="00B42DF8" w:rsidRDefault="00FB2866" w:rsidP="008C264C">
      <w:pPr>
        <w:pStyle w:val="ListParagraph"/>
        <w:numPr>
          <w:ilvl w:val="1"/>
          <w:numId w:val="3"/>
        </w:numPr>
        <w:spacing w:after="0"/>
        <w:jc w:val="both"/>
      </w:pPr>
      <w:r>
        <w:t>QED/School to d</w:t>
      </w:r>
      <w:r w:rsidR="003550F7">
        <w:t>iscuss fee/income structure with the Financial Systems &amp; Exchequer Manager</w:t>
      </w:r>
      <w:r w:rsidR="00B42DF8">
        <w:t xml:space="preserve"> and set out where the activity will take place, the expected income and where applicable the estimated number of students per year.</w:t>
      </w:r>
    </w:p>
    <w:p w14:paraId="620DD9C7" w14:textId="77777777" w:rsidR="003550F7" w:rsidRDefault="00FB2866" w:rsidP="008C264C">
      <w:pPr>
        <w:pStyle w:val="ListParagraph"/>
        <w:numPr>
          <w:ilvl w:val="1"/>
          <w:numId w:val="3"/>
        </w:numPr>
        <w:spacing w:after="0"/>
        <w:jc w:val="both"/>
      </w:pPr>
      <w:r>
        <w:t>Finance to a</w:t>
      </w:r>
      <w:r w:rsidR="003550F7">
        <w:t>gree the method(s) and frequency of payment(s) to Cardiff Met.</w:t>
      </w:r>
      <w:r>
        <w:t xml:space="preserve"> </w:t>
      </w:r>
    </w:p>
    <w:p w14:paraId="4868833B" w14:textId="77777777" w:rsidR="003550F7" w:rsidRPr="00900BA7" w:rsidRDefault="003550F7" w:rsidP="008C264C">
      <w:pPr>
        <w:pStyle w:val="ListParagraph"/>
        <w:spacing w:after="0"/>
        <w:ind w:left="792"/>
        <w:jc w:val="both"/>
      </w:pPr>
    </w:p>
    <w:p w14:paraId="6C7F4366" w14:textId="77777777" w:rsidR="003550F7" w:rsidRPr="00900BA7" w:rsidRDefault="003550F7" w:rsidP="008C264C">
      <w:pPr>
        <w:pStyle w:val="ListParagraph"/>
        <w:numPr>
          <w:ilvl w:val="0"/>
          <w:numId w:val="3"/>
        </w:numPr>
        <w:jc w:val="both"/>
      </w:pPr>
      <w:r w:rsidRPr="004B5129">
        <w:rPr>
          <w:b/>
        </w:rPr>
        <w:t>Staff Costs</w:t>
      </w:r>
      <w:r>
        <w:t xml:space="preserve"> to be considered are as follows and must include all NI and pension costs.</w:t>
      </w:r>
    </w:p>
    <w:p w14:paraId="69499F81" w14:textId="77777777" w:rsidR="00FB2866" w:rsidRDefault="00FB2866" w:rsidP="008C264C">
      <w:pPr>
        <w:pStyle w:val="ListParagraph"/>
        <w:numPr>
          <w:ilvl w:val="1"/>
          <w:numId w:val="3"/>
        </w:numPr>
        <w:jc w:val="both"/>
      </w:pPr>
      <w:r>
        <w:t xml:space="preserve">QED/School to discuss costs of staff </w:t>
      </w:r>
      <w:r w:rsidR="00B42DF8">
        <w:t xml:space="preserve">with HR </w:t>
      </w:r>
      <w:r>
        <w:t>and seek approval from HRPG if appropriate. The discussion to cover:</w:t>
      </w:r>
    </w:p>
    <w:p w14:paraId="48791704" w14:textId="77777777" w:rsidR="003550F7" w:rsidRPr="00900BA7" w:rsidRDefault="003550F7" w:rsidP="008C264C">
      <w:pPr>
        <w:pStyle w:val="ListParagraph"/>
        <w:numPr>
          <w:ilvl w:val="2"/>
          <w:numId w:val="3"/>
        </w:numPr>
        <w:jc w:val="both"/>
      </w:pPr>
      <w:r w:rsidRPr="00900BA7">
        <w:t xml:space="preserve">Direct costs of new </w:t>
      </w:r>
      <w:r>
        <w:t xml:space="preserve">Cardiff Met </w:t>
      </w:r>
      <w:r w:rsidRPr="00900BA7">
        <w:t>staff employed</w:t>
      </w:r>
      <w:r>
        <w:t xml:space="preserve"> - UK based and/or overseas.</w:t>
      </w:r>
    </w:p>
    <w:p w14:paraId="6874D7A8" w14:textId="77777777" w:rsidR="003550F7" w:rsidRDefault="003550F7" w:rsidP="008C264C">
      <w:pPr>
        <w:pStyle w:val="ListParagraph"/>
        <w:numPr>
          <w:ilvl w:val="2"/>
          <w:numId w:val="3"/>
        </w:numPr>
        <w:jc w:val="both"/>
      </w:pPr>
      <w:r w:rsidRPr="00900BA7">
        <w:t>Notional staff costs</w:t>
      </w:r>
      <w:r>
        <w:t xml:space="preserve"> (existing staff) – for Cardiff Met staff involved in direct delivery.</w:t>
      </w:r>
    </w:p>
    <w:p w14:paraId="658234C0" w14:textId="77777777" w:rsidR="00FB2866" w:rsidRPr="00900BA7" w:rsidRDefault="00FB2866" w:rsidP="008C264C">
      <w:pPr>
        <w:pStyle w:val="ListParagraph"/>
        <w:numPr>
          <w:ilvl w:val="1"/>
          <w:numId w:val="3"/>
        </w:numPr>
        <w:jc w:val="both"/>
      </w:pPr>
      <w:r>
        <w:t xml:space="preserve">Discussion with Assistant Director of Finance to ensure all tax implications of staff are considered </w:t>
      </w:r>
    </w:p>
    <w:p w14:paraId="4F2E9918" w14:textId="77777777" w:rsidR="003550F7" w:rsidRPr="00900BA7" w:rsidRDefault="003550F7" w:rsidP="008C264C">
      <w:pPr>
        <w:pStyle w:val="ListParagraph"/>
        <w:ind w:left="1224"/>
        <w:jc w:val="both"/>
      </w:pPr>
    </w:p>
    <w:p w14:paraId="49B40469" w14:textId="77777777" w:rsidR="003550F7" w:rsidRDefault="003550F7" w:rsidP="008C264C">
      <w:pPr>
        <w:pStyle w:val="ListParagraph"/>
        <w:numPr>
          <w:ilvl w:val="0"/>
          <w:numId w:val="3"/>
        </w:numPr>
        <w:jc w:val="both"/>
      </w:pPr>
      <w:r w:rsidRPr="004B5129">
        <w:rPr>
          <w:b/>
        </w:rPr>
        <w:t>Non-staff related costs</w:t>
      </w:r>
      <w:r w:rsidRPr="00900BA7">
        <w:t xml:space="preserve"> </w:t>
      </w:r>
      <w:r w:rsidR="00B42DF8">
        <w:t xml:space="preserve">to be identified by GED/School </w:t>
      </w:r>
      <w:r w:rsidRPr="00900BA7">
        <w:t xml:space="preserve">for </w:t>
      </w:r>
      <w:proofErr w:type="gramStart"/>
      <w:r w:rsidRPr="00900BA7">
        <w:t>all of</w:t>
      </w:r>
      <w:proofErr w:type="gramEnd"/>
      <w:r w:rsidRPr="00900BA7">
        <w:t xml:space="preserve"> the above</w:t>
      </w:r>
      <w:r>
        <w:t xml:space="preserve"> – to </w:t>
      </w:r>
      <w:proofErr w:type="gramStart"/>
      <w:r>
        <w:t>include;</w:t>
      </w:r>
      <w:proofErr w:type="gramEnd"/>
    </w:p>
    <w:p w14:paraId="1A1A100E" w14:textId="77777777" w:rsidR="003550F7" w:rsidRDefault="003550F7" w:rsidP="008C264C">
      <w:pPr>
        <w:pStyle w:val="ListParagraph"/>
        <w:numPr>
          <w:ilvl w:val="1"/>
          <w:numId w:val="3"/>
        </w:numPr>
        <w:jc w:val="both"/>
      </w:pPr>
      <w:r>
        <w:t xml:space="preserve">Travel, accommodation, subsistence and other travel expenditure (within </w:t>
      </w:r>
      <w:proofErr w:type="spellStart"/>
      <w:r>
        <w:t>CMet</w:t>
      </w:r>
      <w:proofErr w:type="spellEnd"/>
      <w:r>
        <w:t xml:space="preserve"> and HMRC rules)</w:t>
      </w:r>
    </w:p>
    <w:p w14:paraId="74E6AFBE" w14:textId="77777777" w:rsidR="003550F7" w:rsidRDefault="003550F7" w:rsidP="008C264C">
      <w:pPr>
        <w:pStyle w:val="ListParagraph"/>
        <w:numPr>
          <w:ilvl w:val="1"/>
          <w:numId w:val="3"/>
        </w:numPr>
        <w:jc w:val="both"/>
      </w:pPr>
      <w:r>
        <w:t>Insurance</w:t>
      </w:r>
    </w:p>
    <w:p w14:paraId="50F0F0E0" w14:textId="77777777" w:rsidR="003550F7" w:rsidRDefault="003550F7" w:rsidP="008C264C">
      <w:pPr>
        <w:pStyle w:val="ListParagraph"/>
        <w:numPr>
          <w:ilvl w:val="1"/>
          <w:numId w:val="3"/>
        </w:numPr>
        <w:jc w:val="both"/>
      </w:pPr>
      <w:r>
        <w:t>Visas</w:t>
      </w:r>
    </w:p>
    <w:p w14:paraId="4655AE19" w14:textId="77777777" w:rsidR="00FB2866" w:rsidRDefault="00FB2866" w:rsidP="008C264C">
      <w:pPr>
        <w:pStyle w:val="ListParagraph"/>
        <w:numPr>
          <w:ilvl w:val="1"/>
          <w:numId w:val="3"/>
        </w:numPr>
        <w:jc w:val="both"/>
      </w:pPr>
      <w:r>
        <w:t>Translation</w:t>
      </w:r>
      <w:r w:rsidR="00B42DF8">
        <w:t xml:space="preserve"> costs</w:t>
      </w:r>
    </w:p>
    <w:p w14:paraId="6004BE10" w14:textId="77777777" w:rsidR="003550F7" w:rsidRDefault="003550F7" w:rsidP="008C264C">
      <w:pPr>
        <w:pStyle w:val="ListParagraph"/>
        <w:numPr>
          <w:ilvl w:val="1"/>
          <w:numId w:val="3"/>
        </w:numPr>
        <w:jc w:val="both"/>
      </w:pPr>
      <w:r>
        <w:t xml:space="preserve">Budgeted business related/authorised hospitality (within </w:t>
      </w:r>
      <w:proofErr w:type="spellStart"/>
      <w:r>
        <w:t>CMet</w:t>
      </w:r>
      <w:proofErr w:type="spellEnd"/>
      <w:r>
        <w:t xml:space="preserve"> and HMRC rules)</w:t>
      </w:r>
    </w:p>
    <w:p w14:paraId="30FC4281" w14:textId="77777777" w:rsidR="003550F7" w:rsidRDefault="003550F7" w:rsidP="008C264C">
      <w:pPr>
        <w:pStyle w:val="ListParagraph"/>
        <w:numPr>
          <w:ilvl w:val="1"/>
          <w:numId w:val="3"/>
        </w:numPr>
        <w:jc w:val="both"/>
      </w:pPr>
      <w:r>
        <w:t xml:space="preserve">Any other costs which Cardiff Met will incur </w:t>
      </w:r>
      <w:proofErr w:type="gramStart"/>
      <w:r>
        <w:t>as a result of</w:t>
      </w:r>
      <w:proofErr w:type="gramEnd"/>
      <w:r>
        <w:t xml:space="preserve"> </w:t>
      </w:r>
      <w:proofErr w:type="gramStart"/>
      <w:r>
        <w:t>entering into</w:t>
      </w:r>
      <w:proofErr w:type="gramEnd"/>
      <w:r>
        <w:t xml:space="preserve"> the partnership, i.e. agent’s commission, books, printing, licences, and equipment.</w:t>
      </w:r>
    </w:p>
    <w:p w14:paraId="58902EC5" w14:textId="77777777" w:rsidR="003550F7" w:rsidRPr="00900BA7" w:rsidRDefault="003550F7" w:rsidP="008C264C">
      <w:pPr>
        <w:pStyle w:val="ListParagraph"/>
        <w:ind w:left="792"/>
        <w:jc w:val="both"/>
      </w:pPr>
    </w:p>
    <w:p w14:paraId="2E5F2897" w14:textId="77777777" w:rsidR="003550F7" w:rsidRDefault="003550F7" w:rsidP="008C264C">
      <w:pPr>
        <w:pStyle w:val="ListParagraph"/>
        <w:numPr>
          <w:ilvl w:val="0"/>
          <w:numId w:val="3"/>
        </w:numPr>
        <w:spacing w:after="0"/>
        <w:jc w:val="both"/>
      </w:pPr>
      <w:r w:rsidRPr="004B5129">
        <w:rPr>
          <w:b/>
        </w:rPr>
        <w:t>Legal and professional costs</w:t>
      </w:r>
      <w:r w:rsidR="00B42DF8">
        <w:rPr>
          <w:b/>
        </w:rPr>
        <w:t xml:space="preserve"> to be </w:t>
      </w:r>
      <w:r w:rsidR="00B42DF8" w:rsidRPr="00B42DF8">
        <w:rPr>
          <w:b/>
        </w:rPr>
        <w:t>identified</w:t>
      </w:r>
      <w:r w:rsidR="00B42DF8" w:rsidRPr="00CF35C4">
        <w:rPr>
          <w:b/>
        </w:rPr>
        <w:t xml:space="preserve"> </w:t>
      </w:r>
      <w:r w:rsidR="00B42DF8" w:rsidRPr="00F577D3">
        <w:rPr>
          <w:b/>
        </w:rPr>
        <w:t>by Assistant Director of Finance</w:t>
      </w:r>
      <w:r w:rsidR="00CF35C4">
        <w:rPr>
          <w:b/>
        </w:rPr>
        <w:t xml:space="preserve"> in consultation with GED/School</w:t>
      </w:r>
      <w:r w:rsidRPr="00F577D3">
        <w:rPr>
          <w:b/>
        </w:rPr>
        <w:t xml:space="preserve"> –</w:t>
      </w:r>
      <w:r>
        <w:t xml:space="preserve"> </w:t>
      </w:r>
    </w:p>
    <w:p w14:paraId="13A4E759" w14:textId="77777777" w:rsidR="003550F7" w:rsidRPr="006F7E2B" w:rsidRDefault="003550F7" w:rsidP="008C264C">
      <w:pPr>
        <w:pStyle w:val="ListParagraph"/>
        <w:numPr>
          <w:ilvl w:val="1"/>
          <w:numId w:val="3"/>
        </w:numPr>
        <w:jc w:val="both"/>
      </w:pPr>
      <w:r w:rsidRPr="006F7E2B">
        <w:t>Cost of obtaining tax advice in relation to Cardiff Met employees working overseas – estimate at £5,000 for the 1</w:t>
      </w:r>
      <w:r w:rsidRPr="006F7E2B">
        <w:rPr>
          <w:vertAlign w:val="superscript"/>
        </w:rPr>
        <w:t>st</w:t>
      </w:r>
      <w:r w:rsidRPr="006F7E2B">
        <w:t xml:space="preserve"> member of staff and £3,000 for each additional member of staff.</w:t>
      </w:r>
    </w:p>
    <w:p w14:paraId="384C078A" w14:textId="77777777" w:rsidR="003550F7" w:rsidRPr="006F7E2B" w:rsidRDefault="003550F7" w:rsidP="008C264C">
      <w:pPr>
        <w:pStyle w:val="ListParagraph"/>
        <w:numPr>
          <w:ilvl w:val="1"/>
          <w:numId w:val="3"/>
        </w:numPr>
        <w:jc w:val="both"/>
      </w:pPr>
      <w:r w:rsidRPr="006F7E2B">
        <w:t>Cost of obtaining professional advice for tax liabilities arising in country – estimate at £10,000 per project application.</w:t>
      </w:r>
    </w:p>
    <w:p w14:paraId="57CA1A8A" w14:textId="67BD82BE" w:rsidR="003550F7" w:rsidRPr="006F7E2B" w:rsidRDefault="003550F7" w:rsidP="008C264C">
      <w:pPr>
        <w:pStyle w:val="ListParagraph"/>
        <w:numPr>
          <w:ilvl w:val="1"/>
          <w:numId w:val="3"/>
        </w:numPr>
        <w:jc w:val="both"/>
      </w:pPr>
      <w:r w:rsidRPr="006F7E2B">
        <w:t xml:space="preserve">Cost of obtaining professional advice on the impact of the new activity on our existing activities in the country. In certain </w:t>
      </w:r>
      <w:proofErr w:type="gramStart"/>
      <w:r w:rsidRPr="006F7E2B">
        <w:t>situations</w:t>
      </w:r>
      <w:proofErr w:type="gramEnd"/>
      <w:r w:rsidRPr="006F7E2B">
        <w:t xml:space="preserve"> a new activity may change how all our </w:t>
      </w:r>
      <w:proofErr w:type="gramStart"/>
      <w:r w:rsidRPr="006F7E2B">
        <w:t>in country</w:t>
      </w:r>
      <w:proofErr w:type="gramEnd"/>
      <w:r w:rsidRPr="006F7E2B">
        <w:t xml:space="preserve"> activities are viewed, this arises if for example a Permanent Establishment is created (can happen inadvertently). Independent professional advice will</w:t>
      </w:r>
      <w:r w:rsidR="002C739E">
        <w:t>,</w:t>
      </w:r>
      <w:r w:rsidRPr="006F7E2B">
        <w:t xml:space="preserve"> if asked</w:t>
      </w:r>
      <w:r w:rsidR="002C739E">
        <w:t>,</w:t>
      </w:r>
      <w:r w:rsidRPr="006F7E2B">
        <w:t xml:space="preserve"> comment </w:t>
      </w:r>
      <w:r w:rsidRPr="00DF00D6">
        <w:t xml:space="preserve">on this. </w:t>
      </w:r>
      <w:r>
        <w:t xml:space="preserve">Check with </w:t>
      </w:r>
      <w:r w:rsidR="00B42DF8">
        <w:t>Global Engagement</w:t>
      </w:r>
      <w:r>
        <w:t xml:space="preserve"> if there are other activities taking place in country. </w:t>
      </w:r>
      <w:r w:rsidRPr="006F7E2B">
        <w:t>Estimate at an additional £7,000 but include only if there are other Cardiff Met activities are already taking place in the country.</w:t>
      </w:r>
    </w:p>
    <w:p w14:paraId="7F68FF10" w14:textId="77777777" w:rsidR="003550F7" w:rsidRPr="006F7E2B" w:rsidRDefault="003550F7" w:rsidP="008C264C">
      <w:pPr>
        <w:pStyle w:val="ListParagraph"/>
        <w:numPr>
          <w:ilvl w:val="2"/>
          <w:numId w:val="3"/>
        </w:numPr>
        <w:jc w:val="both"/>
      </w:pPr>
      <w:r w:rsidRPr="006F7E2B">
        <w:lastRenderedPageBreak/>
        <w:t>On-going tax advice – estimate at £5,000 per annum (</w:t>
      </w:r>
      <w:proofErr w:type="gramStart"/>
      <w:r w:rsidRPr="006F7E2B">
        <w:t>prudent, but</w:t>
      </w:r>
      <w:proofErr w:type="gramEnd"/>
      <w:r w:rsidRPr="006F7E2B">
        <w:t xml:space="preserve"> will not always be required).</w:t>
      </w:r>
    </w:p>
    <w:p w14:paraId="7A0E0E55" w14:textId="77777777" w:rsidR="003550F7" w:rsidRPr="006F7E2B" w:rsidRDefault="003550F7" w:rsidP="008C264C">
      <w:pPr>
        <w:pStyle w:val="ListParagraph"/>
        <w:ind w:left="1224"/>
        <w:jc w:val="both"/>
      </w:pPr>
    </w:p>
    <w:p w14:paraId="0848C719" w14:textId="77777777" w:rsidR="003550F7" w:rsidRPr="006F7E2B" w:rsidRDefault="003550F7" w:rsidP="008C264C">
      <w:pPr>
        <w:pStyle w:val="ListParagraph"/>
        <w:numPr>
          <w:ilvl w:val="2"/>
          <w:numId w:val="3"/>
        </w:numPr>
        <w:jc w:val="both"/>
      </w:pPr>
      <w:r w:rsidRPr="006F7E2B">
        <w:t xml:space="preserve">Tax costs of doing business </w:t>
      </w:r>
    </w:p>
    <w:p w14:paraId="6B0AB311" w14:textId="477319B3" w:rsidR="003550F7" w:rsidRPr="006F7E2B" w:rsidRDefault="003550F7" w:rsidP="008C264C">
      <w:pPr>
        <w:pStyle w:val="ListParagraph"/>
        <w:numPr>
          <w:ilvl w:val="3"/>
          <w:numId w:val="4"/>
        </w:numPr>
        <w:jc w:val="both"/>
      </w:pPr>
      <w:r w:rsidRPr="006F7E2B">
        <w:t>VAT, Corporation, withholding, enterprise taxes, local taxes etc. – Estimate at 20% of income per year (or exclude if income is franchise only).</w:t>
      </w:r>
    </w:p>
    <w:p w14:paraId="14847ABB" w14:textId="77777777" w:rsidR="003550F7" w:rsidRPr="006F7E2B" w:rsidRDefault="003550F7" w:rsidP="008C264C">
      <w:pPr>
        <w:pStyle w:val="ListParagraph"/>
        <w:numPr>
          <w:ilvl w:val="3"/>
          <w:numId w:val="4"/>
        </w:numPr>
        <w:jc w:val="both"/>
      </w:pPr>
      <w:r w:rsidRPr="006F7E2B">
        <w:t>Assessment of additional tax liabilities in the UK i.e. reverse charges, employment taxes. Add 20% to the costs to be paid in the UK for overseas based agents’ commission.</w:t>
      </w:r>
    </w:p>
    <w:p w14:paraId="39650C9C" w14:textId="77777777" w:rsidR="003550F7" w:rsidRPr="006F7E2B" w:rsidRDefault="003550F7" w:rsidP="008C264C">
      <w:pPr>
        <w:pStyle w:val="ListParagraph"/>
        <w:numPr>
          <w:ilvl w:val="3"/>
          <w:numId w:val="4"/>
        </w:numPr>
        <w:jc w:val="both"/>
      </w:pPr>
      <w:r w:rsidRPr="006F7E2B">
        <w:t xml:space="preserve">Income tax / employee taxes overseas – where applicable estimate @30% of in country </w:t>
      </w:r>
      <w:r w:rsidRPr="006F7E2B">
        <w:rPr>
          <w:u w:val="single"/>
        </w:rPr>
        <w:t>employee</w:t>
      </w:r>
      <w:r w:rsidRPr="006F7E2B">
        <w:t xml:space="preserve"> costs to cover all the points below.</w:t>
      </w:r>
    </w:p>
    <w:p w14:paraId="74A18ABF" w14:textId="77777777" w:rsidR="003550F7" w:rsidRPr="006F7E2B" w:rsidRDefault="003550F7" w:rsidP="008C264C">
      <w:pPr>
        <w:pStyle w:val="ListParagraph"/>
        <w:numPr>
          <w:ilvl w:val="4"/>
          <w:numId w:val="4"/>
        </w:numPr>
        <w:jc w:val="both"/>
      </w:pPr>
      <w:r w:rsidRPr="006F7E2B">
        <w:t>After what period of work do these become liable?</w:t>
      </w:r>
    </w:p>
    <w:p w14:paraId="7454A590" w14:textId="77777777" w:rsidR="003550F7" w:rsidRPr="006F7E2B" w:rsidRDefault="003550F7" w:rsidP="008C264C">
      <w:pPr>
        <w:pStyle w:val="ListParagraph"/>
        <w:numPr>
          <w:ilvl w:val="4"/>
          <w:numId w:val="4"/>
        </w:numPr>
        <w:jc w:val="both"/>
      </w:pPr>
      <w:r w:rsidRPr="006F7E2B">
        <w:t>Who is paying them?</w:t>
      </w:r>
    </w:p>
    <w:p w14:paraId="6E607FF8" w14:textId="77777777" w:rsidR="003550F7" w:rsidRPr="006F7E2B" w:rsidRDefault="003550F7" w:rsidP="008C264C">
      <w:pPr>
        <w:pStyle w:val="ListParagraph"/>
        <w:numPr>
          <w:ilvl w:val="4"/>
          <w:numId w:val="4"/>
        </w:numPr>
        <w:jc w:val="both"/>
      </w:pPr>
      <w:r w:rsidRPr="006F7E2B">
        <w:t>Is there a Double Tax Treaty in place?</w:t>
      </w:r>
    </w:p>
    <w:p w14:paraId="071A3446" w14:textId="77777777" w:rsidR="003550F7" w:rsidRPr="006F7E2B" w:rsidRDefault="003550F7" w:rsidP="008C264C">
      <w:pPr>
        <w:pStyle w:val="ListParagraph"/>
        <w:numPr>
          <w:ilvl w:val="4"/>
          <w:numId w:val="4"/>
        </w:numPr>
        <w:jc w:val="both"/>
      </w:pPr>
      <w:r w:rsidRPr="006F7E2B">
        <w:t>Does a payroll provider need to be sought in country?</w:t>
      </w:r>
    </w:p>
    <w:p w14:paraId="1354198E" w14:textId="77777777" w:rsidR="003550F7" w:rsidRDefault="003550F7" w:rsidP="008C264C">
      <w:pPr>
        <w:pStyle w:val="ListParagraph"/>
        <w:numPr>
          <w:ilvl w:val="4"/>
          <w:numId w:val="4"/>
        </w:numPr>
        <w:jc w:val="both"/>
      </w:pPr>
      <w:r w:rsidRPr="006F7E2B">
        <w:t xml:space="preserve">How frequently do income </w:t>
      </w:r>
      <w:r>
        <w:t>tax returns need to be filed by employees i.e. China = weekly? Who will do this?</w:t>
      </w:r>
    </w:p>
    <w:p w14:paraId="1C6511F0" w14:textId="77777777" w:rsidR="003550F7" w:rsidRDefault="003550F7" w:rsidP="008C264C">
      <w:pPr>
        <w:pStyle w:val="ListParagraph"/>
        <w:numPr>
          <w:ilvl w:val="4"/>
          <w:numId w:val="4"/>
        </w:numPr>
        <w:jc w:val="both"/>
      </w:pPr>
      <w:r>
        <w:t>Are UK staff working overseas for &gt;183 days in a tax year? – if yes has Form 85 been requested from HMRC</w:t>
      </w:r>
    </w:p>
    <w:p w14:paraId="6C6DE440" w14:textId="77777777" w:rsidR="003550F7" w:rsidRPr="006F7E2B" w:rsidRDefault="003550F7" w:rsidP="008C264C">
      <w:pPr>
        <w:pStyle w:val="ListParagraph"/>
        <w:numPr>
          <w:ilvl w:val="4"/>
          <w:numId w:val="4"/>
        </w:numPr>
        <w:jc w:val="both"/>
      </w:pPr>
      <w:r>
        <w:t>Has HMRC form A1 / CA3822 / CA9107 been completed in advance of travel?</w:t>
      </w:r>
      <w:r w:rsidRPr="00E657CF">
        <w:t xml:space="preserve"> </w:t>
      </w:r>
      <w:r>
        <w:t xml:space="preserve">This can reduce the liability of paying social security </w:t>
      </w:r>
      <w:r w:rsidRPr="006F7E2B">
        <w:t>payment/personal taxes in 2 countries.</w:t>
      </w:r>
    </w:p>
    <w:p w14:paraId="4EDA50B4" w14:textId="77777777" w:rsidR="003550F7" w:rsidRPr="006F7E2B" w:rsidRDefault="003550F7" w:rsidP="008C264C">
      <w:pPr>
        <w:pStyle w:val="ListParagraph"/>
        <w:numPr>
          <w:ilvl w:val="2"/>
          <w:numId w:val="3"/>
        </w:numPr>
        <w:jc w:val="both"/>
      </w:pPr>
      <w:r w:rsidRPr="006F7E2B">
        <w:t>Royalty payments due – i.e. on franchise fees – estimate at 10% of franchise income (if there is only franchise/royalty income exclude other corporation/business taxes – see above)</w:t>
      </w:r>
    </w:p>
    <w:p w14:paraId="2856E122" w14:textId="77777777" w:rsidR="003550F7" w:rsidRPr="006F7E2B" w:rsidRDefault="003550F7" w:rsidP="008C264C">
      <w:pPr>
        <w:pStyle w:val="ListParagraph"/>
        <w:numPr>
          <w:ilvl w:val="2"/>
          <w:numId w:val="3"/>
        </w:numPr>
        <w:jc w:val="both"/>
      </w:pPr>
      <w:r w:rsidRPr="006F7E2B">
        <w:t>Tax filing in country – who does this? How? Language barriers? – estimate at £3,000 per annum</w:t>
      </w:r>
    </w:p>
    <w:p w14:paraId="2807A3BA" w14:textId="77777777" w:rsidR="003550F7" w:rsidRPr="006F7E2B" w:rsidRDefault="003550F7" w:rsidP="008C264C">
      <w:pPr>
        <w:pStyle w:val="ListParagraph"/>
        <w:numPr>
          <w:ilvl w:val="2"/>
          <w:numId w:val="3"/>
        </w:numPr>
        <w:jc w:val="both"/>
      </w:pPr>
      <w:r w:rsidRPr="006F7E2B">
        <w:t>Estimates for all the above costs should be included, where applicable in the business plan.</w:t>
      </w:r>
    </w:p>
    <w:p w14:paraId="4820F042" w14:textId="77777777" w:rsidR="003550F7" w:rsidRPr="00900BA7" w:rsidRDefault="003550F7" w:rsidP="008C264C">
      <w:pPr>
        <w:pStyle w:val="ListParagraph"/>
        <w:ind w:left="1224"/>
        <w:jc w:val="both"/>
      </w:pPr>
    </w:p>
    <w:p w14:paraId="32ADFE13" w14:textId="77777777" w:rsidR="003550F7" w:rsidRPr="004B5129" w:rsidRDefault="003550F7" w:rsidP="008C264C">
      <w:pPr>
        <w:pStyle w:val="ListParagraph"/>
        <w:numPr>
          <w:ilvl w:val="0"/>
          <w:numId w:val="3"/>
        </w:numPr>
        <w:jc w:val="both"/>
        <w:rPr>
          <w:b/>
        </w:rPr>
      </w:pPr>
      <w:r w:rsidRPr="004B5129">
        <w:rPr>
          <w:b/>
        </w:rPr>
        <w:t>Human Resources</w:t>
      </w:r>
    </w:p>
    <w:p w14:paraId="57F90088" w14:textId="77777777" w:rsidR="003550F7" w:rsidRDefault="003550F7" w:rsidP="008C264C">
      <w:pPr>
        <w:pStyle w:val="ListParagraph"/>
        <w:numPr>
          <w:ilvl w:val="1"/>
          <w:numId w:val="3"/>
        </w:numPr>
        <w:jc w:val="both"/>
      </w:pPr>
      <w:r>
        <w:t xml:space="preserve">Notify </w:t>
      </w:r>
      <w:r w:rsidRPr="00900BA7">
        <w:t>Deputy</w:t>
      </w:r>
      <w:r>
        <w:t>/Head</w:t>
      </w:r>
      <w:r w:rsidRPr="00900BA7">
        <w:t xml:space="preserve"> of HR of intention to locate staff overseas or to bring overseas sta</w:t>
      </w:r>
      <w:r>
        <w:t>ff/visitors into the UK (long &amp;</w:t>
      </w:r>
      <w:r w:rsidRPr="00900BA7">
        <w:t xml:space="preserve"> short term). </w:t>
      </w:r>
      <w:r w:rsidR="00CF35C4">
        <w:t xml:space="preserve">Discussion needs to consider </w:t>
      </w:r>
      <w:r w:rsidRPr="00900BA7">
        <w:t xml:space="preserve">HR </w:t>
      </w:r>
      <w:r>
        <w:t xml:space="preserve">procedures and </w:t>
      </w:r>
      <w:proofErr w:type="gramStart"/>
      <w:r>
        <w:t>timescales</w:t>
      </w:r>
      <w:r w:rsidR="00CF35C4">
        <w:t>;</w:t>
      </w:r>
      <w:proofErr w:type="gramEnd"/>
      <w:r w:rsidR="00CF35C4">
        <w:t xml:space="preserve"> Visa, costs of HR legal advice </w:t>
      </w:r>
      <w:r>
        <w:t xml:space="preserve"> </w:t>
      </w:r>
    </w:p>
    <w:p w14:paraId="06965540" w14:textId="77777777" w:rsidR="003550F7" w:rsidRPr="004B5129" w:rsidRDefault="003550F7" w:rsidP="008C264C">
      <w:pPr>
        <w:pStyle w:val="ListParagraph"/>
        <w:numPr>
          <w:ilvl w:val="0"/>
          <w:numId w:val="3"/>
        </w:numPr>
        <w:spacing w:after="0"/>
        <w:jc w:val="both"/>
        <w:rPr>
          <w:b/>
        </w:rPr>
      </w:pPr>
      <w:r w:rsidRPr="004B5129">
        <w:rPr>
          <w:b/>
        </w:rPr>
        <w:t>Finance Overseas Business Case Form</w:t>
      </w:r>
    </w:p>
    <w:p w14:paraId="505124AF" w14:textId="77777777" w:rsidR="003550F7" w:rsidRDefault="003550F7" w:rsidP="008C264C">
      <w:pPr>
        <w:pStyle w:val="ListParagraph"/>
        <w:numPr>
          <w:ilvl w:val="1"/>
          <w:numId w:val="3"/>
        </w:numPr>
        <w:tabs>
          <w:tab w:val="left" w:pos="851"/>
        </w:tabs>
        <w:spacing w:after="0"/>
        <w:jc w:val="both"/>
      </w:pPr>
      <w:r>
        <w:t xml:space="preserve">Ensure that the form has been completed and has been reviewed by Finance (at least a week before </w:t>
      </w:r>
      <w:r w:rsidR="00BD1140">
        <w:t>PDC</w:t>
      </w:r>
      <w:r>
        <w:t xml:space="preserve"> meets).</w:t>
      </w:r>
    </w:p>
    <w:p w14:paraId="53F91C66" w14:textId="77777777" w:rsidR="003550F7" w:rsidRDefault="003550F7" w:rsidP="008C264C">
      <w:pPr>
        <w:pStyle w:val="ListParagraph"/>
        <w:numPr>
          <w:ilvl w:val="1"/>
          <w:numId w:val="3"/>
        </w:numPr>
        <w:tabs>
          <w:tab w:val="left" w:pos="851"/>
        </w:tabs>
        <w:spacing w:after="0"/>
        <w:jc w:val="both"/>
      </w:pPr>
      <w:r>
        <w:t xml:space="preserve">The reviewed form must be signed by the </w:t>
      </w:r>
      <w:r w:rsidR="00F577D3">
        <w:t>Head of TNE</w:t>
      </w:r>
      <w:r>
        <w:t>, Dean of School and Assistant Director of Finance</w:t>
      </w:r>
    </w:p>
    <w:p w14:paraId="16C35232" w14:textId="77777777" w:rsidR="003550F7" w:rsidRDefault="003550F7" w:rsidP="008C264C">
      <w:pPr>
        <w:pStyle w:val="ListParagraph"/>
        <w:numPr>
          <w:ilvl w:val="1"/>
          <w:numId w:val="3"/>
        </w:numPr>
        <w:tabs>
          <w:tab w:val="left" w:pos="851"/>
        </w:tabs>
        <w:jc w:val="both"/>
      </w:pPr>
      <w:r>
        <w:t xml:space="preserve">When signing the Business Case Form the Assistant Director of Finance will approve the Finance section of the </w:t>
      </w:r>
      <w:r w:rsidR="00CF35C4">
        <w:t xml:space="preserve">PDC </w:t>
      </w:r>
      <w:r>
        <w:t xml:space="preserve">workflow and will send a copy of the form to </w:t>
      </w:r>
      <w:r w:rsidR="00CF35C4">
        <w:t xml:space="preserve">PDC </w:t>
      </w:r>
      <w:r>
        <w:t>admin.</w:t>
      </w:r>
    </w:p>
    <w:p w14:paraId="5E34F32C" w14:textId="77777777" w:rsidR="003550F7" w:rsidRDefault="003550F7" w:rsidP="008C264C">
      <w:pPr>
        <w:pStyle w:val="ListParagraph"/>
        <w:tabs>
          <w:tab w:val="left" w:pos="851"/>
        </w:tabs>
        <w:ind w:left="792"/>
        <w:jc w:val="both"/>
      </w:pPr>
    </w:p>
    <w:p w14:paraId="3061C2DD" w14:textId="77777777" w:rsidR="003550F7" w:rsidRPr="00F61488" w:rsidRDefault="003550F7" w:rsidP="003550F7">
      <w:pPr>
        <w:tabs>
          <w:tab w:val="left" w:pos="851"/>
        </w:tabs>
        <w:rPr>
          <w:b/>
          <w:color w:val="000000" w:themeColor="text1"/>
          <w:sz w:val="28"/>
          <w:szCs w:val="28"/>
          <w:u w:val="single"/>
        </w:rPr>
      </w:pPr>
    </w:p>
    <w:p w14:paraId="1EC2EF9E" w14:textId="2B22B7A8" w:rsidR="009A664D" w:rsidRPr="00F61488" w:rsidRDefault="009A664D" w:rsidP="003550F7">
      <w:pPr>
        <w:tabs>
          <w:tab w:val="left" w:pos="851"/>
        </w:tabs>
        <w:rPr>
          <w:b/>
          <w:color w:val="000000" w:themeColor="text1"/>
          <w:sz w:val="28"/>
          <w:szCs w:val="28"/>
          <w:u w:val="single"/>
        </w:rPr>
      </w:pPr>
    </w:p>
    <w:p w14:paraId="6DEC7282" w14:textId="77777777" w:rsidR="008C264C" w:rsidRPr="00F61488" w:rsidRDefault="008C264C" w:rsidP="003550F7">
      <w:pPr>
        <w:tabs>
          <w:tab w:val="left" w:pos="851"/>
        </w:tabs>
        <w:rPr>
          <w:b/>
          <w:color w:val="000000" w:themeColor="text1"/>
          <w:sz w:val="28"/>
          <w:szCs w:val="28"/>
          <w:u w:val="single"/>
        </w:rPr>
      </w:pPr>
    </w:p>
    <w:p w14:paraId="317D76FF" w14:textId="76C92CA7" w:rsidR="003550F7" w:rsidRPr="007F28C0" w:rsidRDefault="003550F7" w:rsidP="003550F7">
      <w:pPr>
        <w:tabs>
          <w:tab w:val="left" w:pos="851"/>
        </w:tabs>
        <w:rPr>
          <w:b/>
          <w:color w:val="FF0000"/>
          <w:sz w:val="28"/>
          <w:szCs w:val="28"/>
          <w:u w:val="single"/>
        </w:rPr>
      </w:pPr>
      <w:r w:rsidRPr="007F28C0">
        <w:rPr>
          <w:b/>
          <w:color w:val="FF0000"/>
          <w:sz w:val="28"/>
          <w:szCs w:val="28"/>
          <w:u w:val="single"/>
        </w:rPr>
        <w:lastRenderedPageBreak/>
        <w:t xml:space="preserve">Once </w:t>
      </w:r>
      <w:r w:rsidR="00CF35C4">
        <w:rPr>
          <w:b/>
          <w:color w:val="FF0000"/>
          <w:sz w:val="28"/>
          <w:szCs w:val="28"/>
          <w:u w:val="single"/>
        </w:rPr>
        <w:t>PDC</w:t>
      </w:r>
      <w:r w:rsidR="00CF35C4" w:rsidRPr="007F28C0">
        <w:rPr>
          <w:b/>
          <w:color w:val="FF0000"/>
          <w:sz w:val="28"/>
          <w:szCs w:val="28"/>
          <w:u w:val="single"/>
        </w:rPr>
        <w:t xml:space="preserve"> </w:t>
      </w:r>
      <w:r w:rsidRPr="007F28C0">
        <w:rPr>
          <w:b/>
          <w:color w:val="FF0000"/>
          <w:sz w:val="28"/>
          <w:szCs w:val="28"/>
          <w:u w:val="single"/>
        </w:rPr>
        <w:t>has approved the application the following must be actioned</w:t>
      </w:r>
    </w:p>
    <w:p w14:paraId="354ADEE4" w14:textId="77777777" w:rsidR="003550F7" w:rsidRPr="00D84380" w:rsidRDefault="003550F7" w:rsidP="003550F7">
      <w:pPr>
        <w:pStyle w:val="ListParagraph"/>
        <w:tabs>
          <w:tab w:val="left" w:pos="851"/>
        </w:tabs>
        <w:ind w:left="792"/>
        <w:rPr>
          <w:b/>
          <w:sz w:val="28"/>
          <w:szCs w:val="28"/>
          <w:u w:val="single"/>
        </w:rPr>
      </w:pPr>
    </w:p>
    <w:p w14:paraId="1455AAE5" w14:textId="77777777" w:rsidR="003550F7" w:rsidRPr="004B5129" w:rsidRDefault="003550F7" w:rsidP="008C264C">
      <w:pPr>
        <w:pStyle w:val="ListParagraph"/>
        <w:numPr>
          <w:ilvl w:val="0"/>
          <w:numId w:val="3"/>
        </w:numPr>
        <w:jc w:val="both"/>
        <w:rPr>
          <w:b/>
        </w:rPr>
      </w:pPr>
      <w:r w:rsidRPr="004B5129">
        <w:rPr>
          <w:b/>
        </w:rPr>
        <w:t xml:space="preserve">Insurance  </w:t>
      </w:r>
    </w:p>
    <w:p w14:paraId="3589D368" w14:textId="77777777" w:rsidR="003550F7" w:rsidRDefault="003550F7" w:rsidP="008C264C">
      <w:pPr>
        <w:pStyle w:val="ListParagraph"/>
        <w:numPr>
          <w:ilvl w:val="1"/>
          <w:numId w:val="3"/>
        </w:numPr>
        <w:jc w:val="both"/>
      </w:pPr>
      <w:r>
        <w:t>If staff are working overseas (other than short term business travel) contact the Finance Department who will verify insurance cover with the University’s insurance provider.</w:t>
      </w:r>
    </w:p>
    <w:p w14:paraId="038009D0" w14:textId="77777777" w:rsidR="003550F7" w:rsidRDefault="003550F7" w:rsidP="008C264C">
      <w:pPr>
        <w:pStyle w:val="ListParagraph"/>
        <w:numPr>
          <w:ilvl w:val="1"/>
          <w:numId w:val="3"/>
        </w:numPr>
        <w:jc w:val="both"/>
      </w:pPr>
      <w:r>
        <w:t>It is important that staff are advised to take out their own medical and indemnity cover for holiday and other non-work periods whilst overseas.</w:t>
      </w:r>
    </w:p>
    <w:p w14:paraId="6205198C" w14:textId="77777777" w:rsidR="003550F7" w:rsidRDefault="003550F7" w:rsidP="008C264C">
      <w:pPr>
        <w:pStyle w:val="ListParagraph"/>
        <w:ind w:left="792"/>
        <w:jc w:val="both"/>
      </w:pPr>
    </w:p>
    <w:p w14:paraId="78B1F768" w14:textId="77777777" w:rsidR="003550F7" w:rsidRPr="004B5129" w:rsidRDefault="003550F7" w:rsidP="008C264C">
      <w:pPr>
        <w:pStyle w:val="ListParagraph"/>
        <w:numPr>
          <w:ilvl w:val="0"/>
          <w:numId w:val="3"/>
        </w:numPr>
        <w:jc w:val="both"/>
        <w:rPr>
          <w:b/>
        </w:rPr>
      </w:pPr>
      <w:r w:rsidRPr="004B5129">
        <w:rPr>
          <w:b/>
        </w:rPr>
        <w:t>Human Resources</w:t>
      </w:r>
    </w:p>
    <w:p w14:paraId="5E6D5208" w14:textId="77777777" w:rsidR="003550F7" w:rsidRDefault="003550F7" w:rsidP="008C264C">
      <w:pPr>
        <w:pStyle w:val="ListParagraph"/>
        <w:numPr>
          <w:ilvl w:val="1"/>
          <w:numId w:val="3"/>
        </w:numPr>
        <w:tabs>
          <w:tab w:val="left" w:pos="851"/>
          <w:tab w:val="left" w:pos="1276"/>
        </w:tabs>
        <w:jc w:val="both"/>
      </w:pPr>
      <w:r>
        <w:t xml:space="preserve">Where Cardiff Met staff are to be employed/work overseas - contact HR and Finance/Payroll asap and </w:t>
      </w:r>
      <w:r w:rsidRPr="00467651">
        <w:rPr>
          <w:b/>
          <w:color w:val="ED0000"/>
        </w:rPr>
        <w:t>prior to travel</w:t>
      </w:r>
      <w:r>
        <w:t>.</w:t>
      </w:r>
    </w:p>
    <w:p w14:paraId="22F0E37C" w14:textId="77777777" w:rsidR="003550F7" w:rsidRDefault="003550F7" w:rsidP="008C264C">
      <w:pPr>
        <w:pStyle w:val="ListParagraph"/>
        <w:numPr>
          <w:ilvl w:val="1"/>
          <w:numId w:val="3"/>
        </w:numPr>
        <w:tabs>
          <w:tab w:val="left" w:pos="851"/>
          <w:tab w:val="left" w:pos="1276"/>
        </w:tabs>
        <w:jc w:val="both"/>
      </w:pPr>
      <w:r>
        <w:t>Where staff from the Partner will work with us in the UK (and will be paid by the Partner) contract HR &amp; Finance as there may be social security liabilities owed to HMRC.</w:t>
      </w:r>
    </w:p>
    <w:p w14:paraId="0E53D914" w14:textId="77777777" w:rsidR="003550F7" w:rsidRDefault="003550F7" w:rsidP="008C264C">
      <w:pPr>
        <w:pStyle w:val="ListParagraph"/>
        <w:tabs>
          <w:tab w:val="left" w:pos="851"/>
        </w:tabs>
        <w:ind w:left="792"/>
        <w:jc w:val="both"/>
      </w:pPr>
    </w:p>
    <w:p w14:paraId="41BB7D40" w14:textId="77777777" w:rsidR="003550F7" w:rsidRPr="004B5129" w:rsidRDefault="003550F7" w:rsidP="008C264C">
      <w:pPr>
        <w:pStyle w:val="ListParagraph"/>
        <w:numPr>
          <w:ilvl w:val="0"/>
          <w:numId w:val="3"/>
        </w:numPr>
        <w:jc w:val="both"/>
        <w:rPr>
          <w:b/>
        </w:rPr>
      </w:pPr>
      <w:r w:rsidRPr="004B5129">
        <w:rPr>
          <w:b/>
        </w:rPr>
        <w:t>Contracts</w:t>
      </w:r>
    </w:p>
    <w:p w14:paraId="50C0E7CD" w14:textId="77777777" w:rsidR="003550F7" w:rsidRDefault="003550F7" w:rsidP="00D35F20">
      <w:pPr>
        <w:pStyle w:val="ListParagraph"/>
        <w:numPr>
          <w:ilvl w:val="1"/>
          <w:numId w:val="3"/>
        </w:numPr>
        <w:spacing w:after="0"/>
        <w:ind w:left="851" w:hanging="567"/>
        <w:jc w:val="both"/>
      </w:pPr>
      <w:r>
        <w:t>The contract must be reviewed by the Head of Procurement</w:t>
      </w:r>
    </w:p>
    <w:p w14:paraId="13897E5D" w14:textId="77777777" w:rsidR="003550F7" w:rsidRDefault="003550F7" w:rsidP="00D35F20">
      <w:pPr>
        <w:pStyle w:val="ListParagraph"/>
        <w:numPr>
          <w:ilvl w:val="1"/>
          <w:numId w:val="3"/>
        </w:numPr>
        <w:tabs>
          <w:tab w:val="left" w:pos="567"/>
          <w:tab w:val="left" w:pos="993"/>
        </w:tabs>
        <w:spacing w:after="0"/>
        <w:ind w:left="851" w:hanging="574"/>
        <w:jc w:val="both"/>
      </w:pPr>
      <w:r>
        <w:t>No contract should be signed without consideration of the tax implications of trading with the partner. All contracts must clearly state where each type of tax liability lies.</w:t>
      </w:r>
    </w:p>
    <w:p w14:paraId="6AFA248B" w14:textId="77777777" w:rsidR="00D35F20" w:rsidRDefault="002A3DD0" w:rsidP="00D35F20">
      <w:pPr>
        <w:tabs>
          <w:tab w:val="left" w:pos="567"/>
          <w:tab w:val="left" w:pos="851"/>
        </w:tabs>
        <w:spacing w:after="0"/>
        <w:ind w:left="851" w:hanging="574"/>
        <w:rPr>
          <w:color w:val="1F497D"/>
        </w:rPr>
      </w:pPr>
      <w:r w:rsidRPr="00467651">
        <w:rPr>
          <w:b/>
          <w:color w:val="ED0000"/>
        </w:rPr>
        <w:t>10.3</w:t>
      </w:r>
      <w:r w:rsidRPr="00467651">
        <w:rPr>
          <w:b/>
          <w:color w:val="ED0000"/>
        </w:rPr>
        <w:tab/>
      </w:r>
      <w:r w:rsidR="003550F7" w:rsidRPr="00467651">
        <w:rPr>
          <w:b/>
          <w:color w:val="ED0000"/>
        </w:rPr>
        <w:t xml:space="preserve">The contract must be signed in accordance with the authorised signatory limits set out in the University’s </w:t>
      </w:r>
      <w:hyperlink r:id="rId10" w:history="1">
        <w:r w:rsidR="00A87D87">
          <w:rPr>
            <w:rStyle w:val="Hyperlink"/>
          </w:rPr>
          <w:t>Financial Regulations</w:t>
        </w:r>
      </w:hyperlink>
      <w:r w:rsidR="00A87D87">
        <w:rPr>
          <w:color w:val="1F497D"/>
        </w:rPr>
        <w:t xml:space="preserve"> </w:t>
      </w:r>
    </w:p>
    <w:p w14:paraId="44D5CB28" w14:textId="3C52954E" w:rsidR="00CF35C4" w:rsidRPr="002A3DD0" w:rsidRDefault="002A3DD0" w:rsidP="00D35F20">
      <w:pPr>
        <w:tabs>
          <w:tab w:val="left" w:pos="567"/>
          <w:tab w:val="left" w:pos="851"/>
        </w:tabs>
        <w:spacing w:after="0"/>
        <w:ind w:left="851" w:hanging="574"/>
        <w:rPr>
          <w:b/>
        </w:rPr>
      </w:pPr>
      <w:r>
        <w:rPr>
          <w:b/>
        </w:rPr>
        <w:t>10.4</w:t>
      </w:r>
      <w:r>
        <w:rPr>
          <w:b/>
        </w:rPr>
        <w:tab/>
      </w:r>
      <w:r w:rsidR="00CF35C4" w:rsidRPr="002A3DD0">
        <w:rPr>
          <w:b/>
        </w:rPr>
        <w:t>It can take @6+ weeks to obtain professional advice. This timescale needs to be factored into the planning stage and contract negotiations.</w:t>
      </w:r>
    </w:p>
    <w:p w14:paraId="5DA360C1" w14:textId="77777777" w:rsidR="003550F7" w:rsidRDefault="003550F7" w:rsidP="008C264C">
      <w:pPr>
        <w:jc w:val="both"/>
        <w:rPr>
          <w:b/>
        </w:rPr>
      </w:pPr>
    </w:p>
    <w:sectPr w:rsidR="003550F7" w:rsidSect="00373122">
      <w:foot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20AD2" w14:textId="77777777" w:rsidR="00E257F3" w:rsidRDefault="00E257F3" w:rsidP="006E055D">
      <w:pPr>
        <w:spacing w:after="0" w:line="240" w:lineRule="auto"/>
      </w:pPr>
      <w:r>
        <w:separator/>
      </w:r>
    </w:p>
  </w:endnote>
  <w:endnote w:type="continuationSeparator" w:id="0">
    <w:p w14:paraId="6C8AC3CB" w14:textId="77777777" w:rsidR="00E257F3" w:rsidRDefault="00E257F3" w:rsidP="006E0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885517677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358C9A70" w14:textId="3E9CAF00" w:rsidR="009A664D" w:rsidRPr="009A664D" w:rsidRDefault="009A664D">
        <w:pPr>
          <w:pStyle w:val="Footer"/>
          <w:jc w:val="center"/>
          <w:rPr>
            <w:rFonts w:ascii="Arial" w:hAnsi="Arial" w:cs="Arial"/>
            <w:sz w:val="16"/>
          </w:rPr>
        </w:pPr>
        <w:r w:rsidRPr="009A664D">
          <w:rPr>
            <w:rFonts w:ascii="Arial" w:hAnsi="Arial" w:cs="Arial"/>
            <w:sz w:val="16"/>
          </w:rPr>
          <w:t>Academic Ha</w:t>
        </w:r>
        <w:r>
          <w:rPr>
            <w:rFonts w:ascii="Arial" w:hAnsi="Arial" w:cs="Arial"/>
            <w:sz w:val="16"/>
          </w:rPr>
          <w:t>ndbook 20</w:t>
        </w:r>
        <w:r w:rsidR="001629B6">
          <w:rPr>
            <w:rFonts w:ascii="Arial" w:hAnsi="Arial" w:cs="Arial"/>
            <w:sz w:val="16"/>
          </w:rPr>
          <w:t>2</w:t>
        </w:r>
        <w:r w:rsidR="008B3978">
          <w:rPr>
            <w:rFonts w:ascii="Arial" w:hAnsi="Arial" w:cs="Arial"/>
            <w:sz w:val="16"/>
          </w:rPr>
          <w:t>5</w:t>
        </w:r>
        <w:r>
          <w:rPr>
            <w:rFonts w:ascii="Arial" w:hAnsi="Arial" w:cs="Arial"/>
            <w:sz w:val="16"/>
          </w:rPr>
          <w:t>/2</w:t>
        </w:r>
        <w:r w:rsidR="008B3978">
          <w:rPr>
            <w:rFonts w:ascii="Arial" w:hAnsi="Arial" w:cs="Arial"/>
            <w:sz w:val="16"/>
          </w:rPr>
          <w:t>6</w:t>
        </w:r>
        <w:r>
          <w:rPr>
            <w:rFonts w:ascii="Arial" w:hAnsi="Arial" w:cs="Arial"/>
            <w:sz w:val="16"/>
          </w:rPr>
          <w:t xml:space="preserve"> – Volume 2 - 09.8</w:t>
        </w:r>
        <w:r w:rsidRPr="009A664D">
          <w:rPr>
            <w:rFonts w:ascii="Arial" w:hAnsi="Arial" w:cs="Arial"/>
            <w:sz w:val="16"/>
          </w:rPr>
          <w:t xml:space="preserve"> – </w:t>
        </w:r>
        <w:r>
          <w:rPr>
            <w:rFonts w:ascii="Arial" w:hAnsi="Arial" w:cs="Arial"/>
            <w:sz w:val="16"/>
          </w:rPr>
          <w:t xml:space="preserve">Due Diligence Process Template: TNE </w:t>
        </w:r>
        <w:r w:rsidRPr="009A664D">
          <w:rPr>
            <w:rFonts w:ascii="Arial" w:hAnsi="Arial" w:cs="Arial"/>
            <w:sz w:val="16"/>
          </w:rPr>
          <w:t>Collaborati</w:t>
        </w:r>
        <w:r>
          <w:rPr>
            <w:rFonts w:ascii="Arial" w:hAnsi="Arial" w:cs="Arial"/>
            <w:sz w:val="16"/>
          </w:rPr>
          <w:t>on</w:t>
        </w:r>
        <w:r w:rsidRPr="009A664D">
          <w:rPr>
            <w:rFonts w:ascii="Arial" w:hAnsi="Arial" w:cs="Arial"/>
            <w:sz w:val="16"/>
          </w:rPr>
          <w:t xml:space="preserve"> – </w:t>
        </w:r>
        <w:r>
          <w:rPr>
            <w:rFonts w:ascii="Arial" w:hAnsi="Arial" w:cs="Arial"/>
            <w:sz w:val="16"/>
          </w:rPr>
          <w:t>introduced 18.06.20</w:t>
        </w:r>
      </w:p>
      <w:p w14:paraId="1A7C377D" w14:textId="77777777" w:rsidR="009A664D" w:rsidRPr="009A664D" w:rsidRDefault="009A664D">
        <w:pPr>
          <w:pStyle w:val="Footer"/>
          <w:jc w:val="center"/>
          <w:rPr>
            <w:rFonts w:ascii="Arial" w:hAnsi="Arial" w:cs="Arial"/>
            <w:sz w:val="16"/>
          </w:rPr>
        </w:pPr>
      </w:p>
      <w:p w14:paraId="1FC474BC" w14:textId="7CAE296C" w:rsidR="009A664D" w:rsidRPr="009A664D" w:rsidRDefault="009A664D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9A664D">
          <w:rPr>
            <w:rFonts w:ascii="Arial" w:hAnsi="Arial" w:cs="Arial"/>
            <w:sz w:val="20"/>
            <w:szCs w:val="20"/>
          </w:rPr>
          <w:fldChar w:fldCharType="begin"/>
        </w:r>
        <w:r w:rsidRPr="009A664D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9A664D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5</w:t>
        </w:r>
        <w:r w:rsidRPr="009A664D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123F5E45" w14:textId="77777777" w:rsidR="009A664D" w:rsidRPr="009A664D" w:rsidRDefault="009A664D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60088" w14:textId="77777777" w:rsidR="00E257F3" w:rsidRDefault="00E257F3" w:rsidP="006E055D">
      <w:pPr>
        <w:spacing w:after="0" w:line="240" w:lineRule="auto"/>
      </w:pPr>
      <w:r>
        <w:separator/>
      </w:r>
    </w:p>
  </w:footnote>
  <w:footnote w:type="continuationSeparator" w:id="0">
    <w:p w14:paraId="0F125235" w14:textId="77777777" w:rsidR="00E257F3" w:rsidRDefault="00E257F3" w:rsidP="006E05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F6F53"/>
    <w:multiLevelType w:val="hybridMultilevel"/>
    <w:tmpl w:val="9AB48F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AA4657"/>
    <w:multiLevelType w:val="hybridMultilevel"/>
    <w:tmpl w:val="64046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C60DD"/>
    <w:multiLevelType w:val="hybridMultilevel"/>
    <w:tmpl w:val="B2FE3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D35FE"/>
    <w:multiLevelType w:val="hybridMultilevel"/>
    <w:tmpl w:val="9EEEA5A0"/>
    <w:lvl w:ilvl="0" w:tplc="470AD33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C0251C"/>
    <w:multiLevelType w:val="multilevel"/>
    <w:tmpl w:val="AA143D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232" w:hanging="792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CA666F5"/>
    <w:multiLevelType w:val="multilevel"/>
    <w:tmpl w:val="09D2246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2AB6DC1"/>
    <w:multiLevelType w:val="hybridMultilevel"/>
    <w:tmpl w:val="9CC00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886823">
    <w:abstractNumId w:val="1"/>
  </w:num>
  <w:num w:numId="2" w16cid:durableId="1671180031">
    <w:abstractNumId w:val="2"/>
  </w:num>
  <w:num w:numId="3" w16cid:durableId="1911111523">
    <w:abstractNumId w:val="5"/>
  </w:num>
  <w:num w:numId="4" w16cid:durableId="1853032461">
    <w:abstractNumId w:val="4"/>
  </w:num>
  <w:num w:numId="5" w16cid:durableId="1100756390">
    <w:abstractNumId w:val="3"/>
  </w:num>
  <w:num w:numId="6" w16cid:durableId="859046926">
    <w:abstractNumId w:val="0"/>
  </w:num>
  <w:num w:numId="7" w16cid:durableId="14595673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40E"/>
    <w:rsid w:val="000141C9"/>
    <w:rsid w:val="00021F9B"/>
    <w:rsid w:val="000606DC"/>
    <w:rsid w:val="0006149A"/>
    <w:rsid w:val="000767AE"/>
    <w:rsid w:val="00076868"/>
    <w:rsid w:val="00087DE1"/>
    <w:rsid w:val="00095129"/>
    <w:rsid w:val="000A12DC"/>
    <w:rsid w:val="000A73E8"/>
    <w:rsid w:val="000B7045"/>
    <w:rsid w:val="000C14DA"/>
    <w:rsid w:val="000C3E6B"/>
    <w:rsid w:val="000D5DB1"/>
    <w:rsid w:val="000D5DC4"/>
    <w:rsid w:val="000D74D2"/>
    <w:rsid w:val="000E09D7"/>
    <w:rsid w:val="001003B6"/>
    <w:rsid w:val="00125008"/>
    <w:rsid w:val="001267AC"/>
    <w:rsid w:val="00147623"/>
    <w:rsid w:val="0015177F"/>
    <w:rsid w:val="001629B6"/>
    <w:rsid w:val="0016588C"/>
    <w:rsid w:val="00187246"/>
    <w:rsid w:val="00190AE8"/>
    <w:rsid w:val="00190C7B"/>
    <w:rsid w:val="00191DE6"/>
    <w:rsid w:val="00196660"/>
    <w:rsid w:val="001A5212"/>
    <w:rsid w:val="001B2682"/>
    <w:rsid w:val="001B7FDD"/>
    <w:rsid w:val="001D5423"/>
    <w:rsid w:val="001E0E02"/>
    <w:rsid w:val="001E6E28"/>
    <w:rsid w:val="00212D2E"/>
    <w:rsid w:val="00213AFF"/>
    <w:rsid w:val="00213EDE"/>
    <w:rsid w:val="00247B8D"/>
    <w:rsid w:val="002539DA"/>
    <w:rsid w:val="0028215B"/>
    <w:rsid w:val="00286A39"/>
    <w:rsid w:val="00292B4E"/>
    <w:rsid w:val="002940EC"/>
    <w:rsid w:val="002A3DD0"/>
    <w:rsid w:val="002C739E"/>
    <w:rsid w:val="002E1E8D"/>
    <w:rsid w:val="002E6967"/>
    <w:rsid w:val="002F4067"/>
    <w:rsid w:val="0031040E"/>
    <w:rsid w:val="00352813"/>
    <w:rsid w:val="003550F7"/>
    <w:rsid w:val="0035536A"/>
    <w:rsid w:val="0035548C"/>
    <w:rsid w:val="00364378"/>
    <w:rsid w:val="0036647E"/>
    <w:rsid w:val="00366C2C"/>
    <w:rsid w:val="00373122"/>
    <w:rsid w:val="00384A6A"/>
    <w:rsid w:val="0038625D"/>
    <w:rsid w:val="00390D4E"/>
    <w:rsid w:val="003A456A"/>
    <w:rsid w:val="003B0A99"/>
    <w:rsid w:val="003B5ACE"/>
    <w:rsid w:val="003B7D8A"/>
    <w:rsid w:val="003C10FB"/>
    <w:rsid w:val="003C7CE6"/>
    <w:rsid w:val="003D4EEC"/>
    <w:rsid w:val="003F3B76"/>
    <w:rsid w:val="0041240F"/>
    <w:rsid w:val="00421563"/>
    <w:rsid w:val="00436712"/>
    <w:rsid w:val="00437E99"/>
    <w:rsid w:val="00445292"/>
    <w:rsid w:val="004535F6"/>
    <w:rsid w:val="00467651"/>
    <w:rsid w:val="004709FF"/>
    <w:rsid w:val="00474672"/>
    <w:rsid w:val="00480A13"/>
    <w:rsid w:val="004942F4"/>
    <w:rsid w:val="004A17C9"/>
    <w:rsid w:val="004A503C"/>
    <w:rsid w:val="004C6C93"/>
    <w:rsid w:val="004C6EF4"/>
    <w:rsid w:val="004D2FF8"/>
    <w:rsid w:val="004E1CA6"/>
    <w:rsid w:val="004F4764"/>
    <w:rsid w:val="0051315D"/>
    <w:rsid w:val="0053637B"/>
    <w:rsid w:val="00540930"/>
    <w:rsid w:val="005443E0"/>
    <w:rsid w:val="005571EE"/>
    <w:rsid w:val="00562337"/>
    <w:rsid w:val="0058129F"/>
    <w:rsid w:val="00593C43"/>
    <w:rsid w:val="00594B70"/>
    <w:rsid w:val="005A4061"/>
    <w:rsid w:val="005B05E4"/>
    <w:rsid w:val="005C107C"/>
    <w:rsid w:val="005C2D11"/>
    <w:rsid w:val="005C4A21"/>
    <w:rsid w:val="005C5B85"/>
    <w:rsid w:val="005D3C41"/>
    <w:rsid w:val="005E674A"/>
    <w:rsid w:val="005F7E08"/>
    <w:rsid w:val="00602017"/>
    <w:rsid w:val="0061375D"/>
    <w:rsid w:val="00615760"/>
    <w:rsid w:val="00615C05"/>
    <w:rsid w:val="006434E1"/>
    <w:rsid w:val="006634C4"/>
    <w:rsid w:val="00683A6C"/>
    <w:rsid w:val="006942EE"/>
    <w:rsid w:val="006961C1"/>
    <w:rsid w:val="006B631D"/>
    <w:rsid w:val="006C5B1D"/>
    <w:rsid w:val="006E055D"/>
    <w:rsid w:val="006F7E2B"/>
    <w:rsid w:val="00705CB0"/>
    <w:rsid w:val="00712286"/>
    <w:rsid w:val="00720CA3"/>
    <w:rsid w:val="0074016E"/>
    <w:rsid w:val="00740436"/>
    <w:rsid w:val="00770591"/>
    <w:rsid w:val="00780642"/>
    <w:rsid w:val="007817D8"/>
    <w:rsid w:val="00783C99"/>
    <w:rsid w:val="007A7CC9"/>
    <w:rsid w:val="007B4376"/>
    <w:rsid w:val="007D4CD4"/>
    <w:rsid w:val="007E01B7"/>
    <w:rsid w:val="007E76D4"/>
    <w:rsid w:val="00801C91"/>
    <w:rsid w:val="00811E70"/>
    <w:rsid w:val="008162F8"/>
    <w:rsid w:val="00822CE2"/>
    <w:rsid w:val="00823FAD"/>
    <w:rsid w:val="0084212B"/>
    <w:rsid w:val="00853052"/>
    <w:rsid w:val="00856B21"/>
    <w:rsid w:val="00862D50"/>
    <w:rsid w:val="0088227C"/>
    <w:rsid w:val="00887584"/>
    <w:rsid w:val="0089216A"/>
    <w:rsid w:val="008935F6"/>
    <w:rsid w:val="008A1993"/>
    <w:rsid w:val="008A6B0E"/>
    <w:rsid w:val="008A79EB"/>
    <w:rsid w:val="008B3978"/>
    <w:rsid w:val="008C264C"/>
    <w:rsid w:val="008D5F23"/>
    <w:rsid w:val="008E38FB"/>
    <w:rsid w:val="008E7780"/>
    <w:rsid w:val="008F0631"/>
    <w:rsid w:val="008F0C15"/>
    <w:rsid w:val="009016DB"/>
    <w:rsid w:val="00907D72"/>
    <w:rsid w:val="009316EA"/>
    <w:rsid w:val="009466ED"/>
    <w:rsid w:val="00946F35"/>
    <w:rsid w:val="0095606B"/>
    <w:rsid w:val="00957804"/>
    <w:rsid w:val="00982ABF"/>
    <w:rsid w:val="00984719"/>
    <w:rsid w:val="00987922"/>
    <w:rsid w:val="0099739F"/>
    <w:rsid w:val="009A664D"/>
    <w:rsid w:val="009B7F74"/>
    <w:rsid w:val="009C53E9"/>
    <w:rsid w:val="009D20F3"/>
    <w:rsid w:val="009D3C60"/>
    <w:rsid w:val="00A15585"/>
    <w:rsid w:val="00A45A87"/>
    <w:rsid w:val="00A47D82"/>
    <w:rsid w:val="00A606CA"/>
    <w:rsid w:val="00A7202A"/>
    <w:rsid w:val="00A73B43"/>
    <w:rsid w:val="00A87D87"/>
    <w:rsid w:val="00A90D07"/>
    <w:rsid w:val="00A928B9"/>
    <w:rsid w:val="00A930A7"/>
    <w:rsid w:val="00A97A58"/>
    <w:rsid w:val="00AC4BFE"/>
    <w:rsid w:val="00AF55FB"/>
    <w:rsid w:val="00AF5FDA"/>
    <w:rsid w:val="00B07649"/>
    <w:rsid w:val="00B15723"/>
    <w:rsid w:val="00B247DF"/>
    <w:rsid w:val="00B256F0"/>
    <w:rsid w:val="00B40556"/>
    <w:rsid w:val="00B42DF8"/>
    <w:rsid w:val="00B62A0B"/>
    <w:rsid w:val="00B679E9"/>
    <w:rsid w:val="00B76440"/>
    <w:rsid w:val="00B769E6"/>
    <w:rsid w:val="00B813D5"/>
    <w:rsid w:val="00B86BA9"/>
    <w:rsid w:val="00B87D8A"/>
    <w:rsid w:val="00B92736"/>
    <w:rsid w:val="00BA24DE"/>
    <w:rsid w:val="00BA5F05"/>
    <w:rsid w:val="00BA6D05"/>
    <w:rsid w:val="00BB3F02"/>
    <w:rsid w:val="00BB63B4"/>
    <w:rsid w:val="00BB794E"/>
    <w:rsid w:val="00BD1140"/>
    <w:rsid w:val="00BE22EF"/>
    <w:rsid w:val="00BE3B25"/>
    <w:rsid w:val="00BE44E1"/>
    <w:rsid w:val="00BE608F"/>
    <w:rsid w:val="00BE7B90"/>
    <w:rsid w:val="00BF25BF"/>
    <w:rsid w:val="00C00ABD"/>
    <w:rsid w:val="00C15B3F"/>
    <w:rsid w:val="00C20C89"/>
    <w:rsid w:val="00C35029"/>
    <w:rsid w:val="00C40737"/>
    <w:rsid w:val="00C561D7"/>
    <w:rsid w:val="00C7524A"/>
    <w:rsid w:val="00C86DCA"/>
    <w:rsid w:val="00C901A2"/>
    <w:rsid w:val="00C905F6"/>
    <w:rsid w:val="00CB0393"/>
    <w:rsid w:val="00CB519A"/>
    <w:rsid w:val="00CE3815"/>
    <w:rsid w:val="00CF35C4"/>
    <w:rsid w:val="00D02C0D"/>
    <w:rsid w:val="00D02C35"/>
    <w:rsid w:val="00D0355E"/>
    <w:rsid w:val="00D06D64"/>
    <w:rsid w:val="00D10576"/>
    <w:rsid w:val="00D20486"/>
    <w:rsid w:val="00D35F20"/>
    <w:rsid w:val="00D57FD8"/>
    <w:rsid w:val="00D67BF5"/>
    <w:rsid w:val="00D67EC4"/>
    <w:rsid w:val="00D977AE"/>
    <w:rsid w:val="00DC5F23"/>
    <w:rsid w:val="00DD12AC"/>
    <w:rsid w:val="00DD5FDC"/>
    <w:rsid w:val="00DD7091"/>
    <w:rsid w:val="00DE26AC"/>
    <w:rsid w:val="00DE6A8C"/>
    <w:rsid w:val="00DF3479"/>
    <w:rsid w:val="00DF6BB3"/>
    <w:rsid w:val="00DF716C"/>
    <w:rsid w:val="00E122A8"/>
    <w:rsid w:val="00E257F3"/>
    <w:rsid w:val="00E3527F"/>
    <w:rsid w:val="00E522CC"/>
    <w:rsid w:val="00E53BDE"/>
    <w:rsid w:val="00E54107"/>
    <w:rsid w:val="00E72C3E"/>
    <w:rsid w:val="00E91CDF"/>
    <w:rsid w:val="00EB2ABE"/>
    <w:rsid w:val="00EC00E0"/>
    <w:rsid w:val="00EC30BE"/>
    <w:rsid w:val="00ED16F8"/>
    <w:rsid w:val="00EE288C"/>
    <w:rsid w:val="00EE4246"/>
    <w:rsid w:val="00F02F92"/>
    <w:rsid w:val="00F12460"/>
    <w:rsid w:val="00F12548"/>
    <w:rsid w:val="00F161FD"/>
    <w:rsid w:val="00F238F0"/>
    <w:rsid w:val="00F577D3"/>
    <w:rsid w:val="00F61488"/>
    <w:rsid w:val="00F713BF"/>
    <w:rsid w:val="00F752CE"/>
    <w:rsid w:val="00F86643"/>
    <w:rsid w:val="00F949E2"/>
    <w:rsid w:val="00F9623D"/>
    <w:rsid w:val="00FA7DE8"/>
    <w:rsid w:val="00FB1A76"/>
    <w:rsid w:val="00FB2866"/>
    <w:rsid w:val="00FC301A"/>
    <w:rsid w:val="00FE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ADF01E"/>
  <w15:chartTrackingRefBased/>
  <w15:docId w15:val="{75767016-EE2E-4CDD-B80E-3E6B33A44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6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51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50F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124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24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24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24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24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46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E05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55D"/>
  </w:style>
  <w:style w:type="paragraph" w:styleId="Footer">
    <w:name w:val="footer"/>
    <w:basedOn w:val="Normal"/>
    <w:link w:val="FooterChar"/>
    <w:uiPriority w:val="99"/>
    <w:unhideWhenUsed/>
    <w:rsid w:val="006E05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55D"/>
  </w:style>
  <w:style w:type="paragraph" w:styleId="BodyText">
    <w:name w:val="Body Text"/>
    <w:basedOn w:val="Normal"/>
    <w:link w:val="BodyTextChar"/>
    <w:uiPriority w:val="1"/>
    <w:qFormat/>
    <w:rsid w:val="009973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9739F"/>
    <w:rPr>
      <w:rFonts w:ascii="Arial" w:eastAsia="Arial" w:hAnsi="Arial" w:cs="Arial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614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7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tsr.cardiffmet.ac.uk/Units/FIN/Documents/Financial%20Regualtions/Financial%20Regulations%20May19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36D09BF0B18A478A59D10A0E70415C" ma:contentTypeVersion="0" ma:contentTypeDescription="Create a new document." ma:contentTypeScope="" ma:versionID="275c4d32ba8da2b496d7e3121f19039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979FB4-8210-4CE0-B1D9-F57B35AD77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56715A-12AC-4D56-B4D0-B0AB209780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FA472E-40D8-473E-AEB8-ED314F7B46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1215</Words>
  <Characters>6494</Characters>
  <Application>Microsoft Office Word</Application>
  <DocSecurity>0</DocSecurity>
  <Lines>238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David</dc:creator>
  <cp:keywords/>
  <dc:description/>
  <cp:lastModifiedBy>Wildsmith, Duncan</cp:lastModifiedBy>
  <cp:revision>11</cp:revision>
  <dcterms:created xsi:type="dcterms:W3CDTF">2022-03-16T15:37:00Z</dcterms:created>
  <dcterms:modified xsi:type="dcterms:W3CDTF">2026-04-01T11:13:00Z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0x010100EF36D09BF0B18A478A59D10A0E70415C</vt:lpwstr>
  </property>
</Properties>
</file>