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9443" w14:textId="77777777" w:rsidR="00A01EC1" w:rsidRPr="00580BEF" w:rsidRDefault="00A01EC1">
      <w:pPr>
        <w:pStyle w:val="BodyText"/>
      </w:pPr>
    </w:p>
    <w:p w14:paraId="0B7CA7F5" w14:textId="77777777" w:rsidR="00A01EC1" w:rsidRPr="00580BEF" w:rsidRDefault="00A01EC1">
      <w:pPr>
        <w:pStyle w:val="BodyText"/>
      </w:pPr>
    </w:p>
    <w:p w14:paraId="48441EC5" w14:textId="77777777" w:rsidR="00A01EC1" w:rsidRPr="00580BEF" w:rsidRDefault="00A01EC1">
      <w:pPr>
        <w:pStyle w:val="BodyText"/>
      </w:pPr>
    </w:p>
    <w:p w14:paraId="785D5151" w14:textId="77777777" w:rsidR="00A01EC1" w:rsidRPr="00580BEF" w:rsidRDefault="00A01EC1">
      <w:pPr>
        <w:pStyle w:val="BodyText"/>
      </w:pPr>
    </w:p>
    <w:p w14:paraId="2F0583E4" w14:textId="77777777" w:rsidR="00A01EC1" w:rsidRPr="00580BEF" w:rsidRDefault="00A01EC1">
      <w:pPr>
        <w:pStyle w:val="BodyText"/>
      </w:pPr>
    </w:p>
    <w:p w14:paraId="01A19839" w14:textId="77777777" w:rsidR="00A01EC1" w:rsidRPr="00580BEF" w:rsidRDefault="00A01EC1">
      <w:pPr>
        <w:pStyle w:val="BodyText"/>
      </w:pPr>
    </w:p>
    <w:p w14:paraId="2F5986BE" w14:textId="77777777" w:rsidR="00A01EC1" w:rsidRPr="00580BEF" w:rsidRDefault="00A01EC1">
      <w:pPr>
        <w:pStyle w:val="BodyText"/>
      </w:pPr>
    </w:p>
    <w:p w14:paraId="1892FE2B" w14:textId="77777777" w:rsidR="00A01EC1" w:rsidRPr="00580BEF" w:rsidRDefault="00A01EC1">
      <w:pPr>
        <w:pStyle w:val="BodyText"/>
      </w:pPr>
    </w:p>
    <w:p w14:paraId="5A2D801D" w14:textId="77777777" w:rsidR="00A01EC1" w:rsidRPr="00580BEF" w:rsidRDefault="00A01EC1">
      <w:pPr>
        <w:pStyle w:val="BodyText"/>
      </w:pPr>
    </w:p>
    <w:p w14:paraId="1E98BB7B" w14:textId="77777777" w:rsidR="00A01EC1" w:rsidRPr="00580BEF" w:rsidRDefault="00A01EC1">
      <w:pPr>
        <w:pStyle w:val="BodyText"/>
      </w:pPr>
    </w:p>
    <w:p w14:paraId="645D1EDF" w14:textId="77777777" w:rsidR="00A01EC1" w:rsidRPr="00580BEF" w:rsidRDefault="00A01EC1">
      <w:pPr>
        <w:pStyle w:val="BodyText"/>
      </w:pPr>
    </w:p>
    <w:p w14:paraId="63762BE6" w14:textId="051AFB27" w:rsidR="00A01EC1" w:rsidRDefault="00D63FE6">
      <w:pPr>
        <w:spacing w:before="85"/>
        <w:ind w:left="3788" w:right="3786"/>
        <w:jc w:val="center"/>
        <w:rPr>
          <w:b/>
          <w:sz w:val="48"/>
        </w:rPr>
      </w:pPr>
      <w:r>
        <w:rPr>
          <w:b/>
          <w:sz w:val="48"/>
        </w:rPr>
        <w:t>10.</w:t>
      </w:r>
      <w:r w:rsidR="00895D6C">
        <w:rPr>
          <w:b/>
          <w:sz w:val="48"/>
        </w:rPr>
        <w:t>2</w:t>
      </w:r>
    </w:p>
    <w:p w14:paraId="477EFD0E" w14:textId="77777777" w:rsidR="00A01EC1" w:rsidRPr="00580BEF" w:rsidRDefault="00A01EC1">
      <w:pPr>
        <w:pStyle w:val="BodyText"/>
        <w:rPr>
          <w:b/>
        </w:rPr>
      </w:pPr>
    </w:p>
    <w:p w14:paraId="6DBEEE81" w14:textId="7721C3EF" w:rsidR="00A01EC1" w:rsidRDefault="00D63FE6">
      <w:pPr>
        <w:spacing w:before="410"/>
        <w:ind w:left="1042" w:right="1041" w:firstLine="5"/>
        <w:jc w:val="center"/>
        <w:rPr>
          <w:b/>
          <w:sz w:val="40"/>
        </w:rPr>
      </w:pPr>
      <w:r>
        <w:rPr>
          <w:b/>
          <w:sz w:val="40"/>
        </w:rPr>
        <w:t>PROGRESSION TO UNIVERSITY PROGRAMMES: APPROVAL PROCEDURE</w:t>
      </w:r>
    </w:p>
    <w:p w14:paraId="647D5DC6" w14:textId="77777777" w:rsidR="00A01EC1" w:rsidRDefault="00A01EC1">
      <w:pPr>
        <w:jc w:val="center"/>
        <w:rPr>
          <w:sz w:val="40"/>
        </w:rPr>
        <w:sectPr w:rsidR="00A01E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80" w:right="1680" w:bottom="1860" w:left="1680" w:header="720" w:footer="1664" w:gutter="0"/>
          <w:pgNumType w:start="1"/>
          <w:cols w:space="720"/>
        </w:sectPr>
      </w:pPr>
    </w:p>
    <w:p w14:paraId="38836852" w14:textId="77777777" w:rsidR="00A01EC1" w:rsidRDefault="00A01EC1">
      <w:pPr>
        <w:pStyle w:val="BodyText"/>
        <w:spacing w:before="8"/>
        <w:rPr>
          <w:b/>
          <w:sz w:val="10"/>
        </w:rPr>
      </w:pPr>
    </w:p>
    <w:p w14:paraId="2445E124" w14:textId="77777777" w:rsidR="00A01EC1" w:rsidRDefault="00D63FE6">
      <w:pPr>
        <w:pStyle w:val="Heading1"/>
        <w:spacing w:before="92" w:line="343" w:lineRule="auto"/>
        <w:ind w:right="2476"/>
        <w:jc w:val="left"/>
      </w:pPr>
      <w:r>
        <w:t>CARDIFF METROPOLITAN UNIVERSITY INTERNATIONAL PROGRESSION ARRANGEMENTS</w:t>
      </w:r>
    </w:p>
    <w:p w14:paraId="27DAE344" w14:textId="77777777" w:rsidR="00A01EC1" w:rsidRDefault="00D63FE6">
      <w:pPr>
        <w:pStyle w:val="BodyText"/>
        <w:spacing w:before="162"/>
        <w:ind w:left="120" w:right="112"/>
        <w:jc w:val="both"/>
      </w:pP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Handbook</w:t>
      </w:r>
      <w:r>
        <w:rPr>
          <w:spacing w:val="-7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Articulation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Programmes</w:t>
      </w:r>
      <w:r>
        <w:rPr>
          <w:spacing w:val="-9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a methodology through which students who satisfy academic criteria of a partner’s</w:t>
      </w:r>
      <w:r>
        <w:rPr>
          <w:spacing w:val="-10"/>
        </w:rPr>
        <w:t xml:space="preserve"> </w:t>
      </w:r>
      <w:proofErr w:type="spellStart"/>
      <w:r>
        <w:t>programme</w:t>
      </w:r>
      <w:proofErr w:type="spellEnd"/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specified</w:t>
      </w:r>
      <w:r>
        <w:rPr>
          <w:spacing w:val="-9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programmes with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specified</w:t>
      </w:r>
      <w:r>
        <w:rPr>
          <w:spacing w:val="-18"/>
        </w:rPr>
        <w:t xml:space="preserve"> </w:t>
      </w:r>
      <w:r>
        <w:t>amount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advanced</w:t>
      </w:r>
      <w:r>
        <w:rPr>
          <w:spacing w:val="-17"/>
        </w:rPr>
        <w:t xml:space="preserve"> </w:t>
      </w:r>
      <w:r>
        <w:t>standing</w:t>
      </w:r>
      <w:r>
        <w:rPr>
          <w:spacing w:val="-17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without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need</w:t>
      </w:r>
      <w:r>
        <w:rPr>
          <w:spacing w:val="-19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individual consideration.</w:t>
      </w:r>
    </w:p>
    <w:p w14:paraId="134D8298" w14:textId="77777777" w:rsidR="00A01EC1" w:rsidRDefault="00A01EC1">
      <w:pPr>
        <w:pStyle w:val="BodyText"/>
        <w:spacing w:before="10"/>
        <w:rPr>
          <w:sz w:val="23"/>
        </w:rPr>
      </w:pPr>
    </w:p>
    <w:p w14:paraId="1F97C15C" w14:textId="2EA261B5" w:rsidR="00A01EC1" w:rsidRDefault="00D63FE6">
      <w:pPr>
        <w:pStyle w:val="BodyText"/>
        <w:ind w:left="120" w:right="113"/>
        <w:jc w:val="both"/>
      </w:pPr>
      <w:r>
        <w:t>This section covers formal arrangements whereby students who have</w:t>
      </w:r>
      <w:r>
        <w:rPr>
          <w:spacing w:val="-12"/>
        </w:rPr>
        <w:t xml:space="preserve"> </w:t>
      </w:r>
      <w:r>
        <w:t>successfully</w:t>
      </w:r>
      <w:r>
        <w:rPr>
          <w:spacing w:val="-13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programme</w:t>
      </w:r>
      <w:proofErr w:type="spellEnd"/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partner</w:t>
      </w:r>
      <w:r>
        <w:rPr>
          <w:spacing w:val="-12"/>
        </w:rPr>
        <w:t xml:space="preserve"> </w:t>
      </w:r>
      <w:proofErr w:type="spellStart"/>
      <w:r>
        <w:t>organisation</w:t>
      </w:r>
      <w:proofErr w:type="spellEnd"/>
      <w:r>
        <w:t xml:space="preserve"> may be considered on an individual basis for entry </w:t>
      </w:r>
      <w:proofErr w:type="gramStart"/>
      <w:r>
        <w:t>to</w:t>
      </w:r>
      <w:proofErr w:type="gramEnd"/>
      <w:r>
        <w:t xml:space="preserve"> a Cardiff Metropolitan University </w:t>
      </w:r>
      <w:proofErr w:type="spellStart"/>
      <w:r>
        <w:t>programme</w:t>
      </w:r>
      <w:proofErr w:type="spellEnd"/>
      <w:r>
        <w:t>. Subject to the specified entry criteria and available places, a progression agreement bestows a guarantee of consideration for entry.</w:t>
      </w:r>
    </w:p>
    <w:p w14:paraId="1BE1AC7B" w14:textId="77777777" w:rsidR="00A01EC1" w:rsidRDefault="00A01EC1">
      <w:pPr>
        <w:pStyle w:val="BodyText"/>
      </w:pPr>
    </w:p>
    <w:p w14:paraId="3BA2BE28" w14:textId="77777777" w:rsidR="00A01EC1" w:rsidRDefault="00D63FE6">
      <w:pPr>
        <w:pStyle w:val="Heading1"/>
        <w:spacing w:before="1"/>
      </w:pPr>
      <w:r>
        <w:t>Approval Process</w:t>
      </w:r>
    </w:p>
    <w:p w14:paraId="6D65C557" w14:textId="77777777" w:rsidR="00A01EC1" w:rsidRDefault="00A01EC1">
      <w:pPr>
        <w:pStyle w:val="BodyText"/>
        <w:rPr>
          <w:b/>
        </w:rPr>
      </w:pPr>
    </w:p>
    <w:p w14:paraId="74509F60" w14:textId="77777777" w:rsidR="00A01EC1" w:rsidRDefault="00D63FE6">
      <w:pPr>
        <w:pStyle w:val="ListParagraph"/>
        <w:numPr>
          <w:ilvl w:val="0"/>
          <w:numId w:val="1"/>
        </w:numPr>
        <w:tabs>
          <w:tab w:val="left" w:pos="481"/>
        </w:tabs>
        <w:ind w:hanging="360"/>
        <w:jc w:val="both"/>
        <w:rPr>
          <w:b/>
          <w:sz w:val="24"/>
        </w:rPr>
      </w:pPr>
      <w:r>
        <w:rPr>
          <w:b/>
          <w:sz w:val="24"/>
        </w:rPr>
        <w:t>Due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Diligence</w:t>
      </w:r>
    </w:p>
    <w:p w14:paraId="53FF20FB" w14:textId="77777777" w:rsidR="00A01EC1" w:rsidRDefault="00A01EC1">
      <w:pPr>
        <w:pStyle w:val="BodyText"/>
        <w:spacing w:before="9"/>
        <w:rPr>
          <w:b/>
          <w:sz w:val="23"/>
        </w:rPr>
      </w:pPr>
    </w:p>
    <w:p w14:paraId="7DA127CE" w14:textId="2237E540" w:rsidR="00A01EC1" w:rsidRDefault="00D63FE6">
      <w:pPr>
        <w:pStyle w:val="BodyText"/>
        <w:ind w:left="120" w:right="110"/>
        <w:jc w:val="both"/>
      </w:pPr>
      <w:r>
        <w:t>It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School</w:t>
      </w:r>
      <w:r>
        <w:rPr>
          <w:spacing w:val="-16"/>
        </w:rPr>
        <w:t xml:space="preserve"> </w:t>
      </w:r>
      <w:r w:rsidR="00E456D5">
        <w:rPr>
          <w:spacing w:val="-16"/>
        </w:rPr>
        <w:t>(</w:t>
      </w:r>
      <w:proofErr w:type="gramStart"/>
      <w:r w:rsidR="00E456D5">
        <w:rPr>
          <w:spacing w:val="-16"/>
        </w:rPr>
        <w:t>EU based</w:t>
      </w:r>
      <w:proofErr w:type="gramEnd"/>
      <w:r w:rsidR="00E456D5">
        <w:rPr>
          <w:spacing w:val="-16"/>
        </w:rPr>
        <w:t xml:space="preserve"> arrangements)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 w:rsidR="00E456D5">
        <w:rPr>
          <w:spacing w:val="-15"/>
        </w:rPr>
        <w:t xml:space="preserve">School and </w:t>
      </w:r>
      <w:r w:rsidR="00FA506A">
        <w:rPr>
          <w:spacing w:val="-15"/>
        </w:rPr>
        <w:t>Marketing, Communication</w:t>
      </w:r>
      <w:r w:rsidR="00EA2898">
        <w:rPr>
          <w:spacing w:val="-15"/>
        </w:rPr>
        <w:t>s</w:t>
      </w:r>
      <w:r w:rsidR="00FA506A">
        <w:rPr>
          <w:spacing w:val="-15"/>
        </w:rPr>
        <w:t xml:space="preserve"> and Student Recruitment (MCSR)</w:t>
      </w:r>
      <w:r w:rsidR="00E456D5">
        <w:rPr>
          <w:spacing w:val="-15"/>
        </w:rPr>
        <w:t xml:space="preserve"> (</w:t>
      </w:r>
      <w:r>
        <w:t>International</w:t>
      </w:r>
      <w:r w:rsidR="00E456D5">
        <w:t xml:space="preserve"> arrangements)</w:t>
      </w:r>
      <w:r>
        <w:rPr>
          <w:spacing w:val="-17"/>
        </w:rPr>
        <w:t xml:space="preserve"> </w:t>
      </w:r>
      <w:r>
        <w:t xml:space="preserve">to identify a potential partner wishing to apply for a progression arrangement and the target degree </w:t>
      </w:r>
      <w:proofErr w:type="spellStart"/>
      <w:r>
        <w:t>programme</w:t>
      </w:r>
      <w:proofErr w:type="spellEnd"/>
      <w:r>
        <w:t>(s) and to assist them in preparing for the formal approval</w:t>
      </w:r>
      <w:r>
        <w:rPr>
          <w:spacing w:val="-24"/>
        </w:rPr>
        <w:t xml:space="preserve"> </w:t>
      </w:r>
      <w:r>
        <w:t>process.</w:t>
      </w:r>
    </w:p>
    <w:p w14:paraId="2A80F5E2" w14:textId="77777777" w:rsidR="00A01EC1" w:rsidRDefault="00A01EC1">
      <w:pPr>
        <w:pStyle w:val="BodyText"/>
      </w:pPr>
    </w:p>
    <w:p w14:paraId="3065B63F" w14:textId="6BFB535B" w:rsidR="00A01EC1" w:rsidRDefault="00E456D5">
      <w:pPr>
        <w:pStyle w:val="BodyText"/>
        <w:ind w:left="120" w:right="119"/>
        <w:jc w:val="both"/>
      </w:pPr>
      <w:r>
        <w:t>For EU based arrangements the School will carry out initial due diligence of the potential partners. For International arrangements l</w:t>
      </w:r>
      <w:r w:rsidR="00D63FE6">
        <w:t xml:space="preserve">iaising with the School as necessary, </w:t>
      </w:r>
      <w:r w:rsidR="00FA506A">
        <w:t xml:space="preserve">MCSR </w:t>
      </w:r>
      <w:r w:rsidR="00D63FE6">
        <w:t xml:space="preserve">will carry out initial due diligence of the potential partner and report on such to the </w:t>
      </w:r>
      <w:r w:rsidR="00C037B6">
        <w:t>Portfolio Development Committee</w:t>
      </w:r>
      <w:r w:rsidR="00D63FE6">
        <w:t>. Such report will include reassurance covering:</w:t>
      </w:r>
    </w:p>
    <w:p w14:paraId="490D4BE1" w14:textId="77777777" w:rsidR="00A01EC1" w:rsidRDefault="00A01EC1">
      <w:pPr>
        <w:pStyle w:val="BodyText"/>
        <w:spacing w:before="10"/>
        <w:rPr>
          <w:sz w:val="23"/>
        </w:rPr>
      </w:pPr>
    </w:p>
    <w:p w14:paraId="1E24CB09" w14:textId="77777777" w:rsidR="00A01EC1" w:rsidRDefault="00D63FE6">
      <w:pPr>
        <w:pStyle w:val="BodyText"/>
        <w:ind w:left="120" w:right="120"/>
        <w:jc w:val="both"/>
      </w:pPr>
      <w:r>
        <w:t>the</w:t>
      </w:r>
      <w:r>
        <w:rPr>
          <w:spacing w:val="-8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partner’s</w:t>
      </w:r>
      <w:r>
        <w:rPr>
          <w:spacing w:val="-10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standing,</w:t>
      </w:r>
      <w:r>
        <w:rPr>
          <w:spacing w:val="-8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and the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t>/qualification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partner’s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39"/>
        </w:rPr>
        <w:t xml:space="preserve"> </w:t>
      </w:r>
      <w:proofErr w:type="gramStart"/>
      <w:r>
        <w:t>progress;</w:t>
      </w:r>
      <w:proofErr w:type="gramEnd"/>
    </w:p>
    <w:p w14:paraId="048DD903" w14:textId="77777777" w:rsidR="00A01EC1" w:rsidRDefault="00A01EC1">
      <w:pPr>
        <w:pStyle w:val="BodyText"/>
        <w:spacing w:before="11"/>
        <w:rPr>
          <w:sz w:val="23"/>
        </w:rPr>
      </w:pPr>
    </w:p>
    <w:p w14:paraId="50CAF92B" w14:textId="77777777" w:rsidR="00A01EC1" w:rsidRDefault="00D63FE6">
      <w:pPr>
        <w:pStyle w:val="BodyText"/>
        <w:ind w:left="120" w:right="126"/>
        <w:jc w:val="both"/>
      </w:pPr>
      <w:r>
        <w:t xml:space="preserve">whether any progression arrangements the partner has with other universities are working </w:t>
      </w:r>
      <w:proofErr w:type="gramStart"/>
      <w:r>
        <w:t>well;</w:t>
      </w:r>
      <w:proofErr w:type="gramEnd"/>
    </w:p>
    <w:p w14:paraId="15C5BF7D" w14:textId="77777777" w:rsidR="00A01EC1" w:rsidRDefault="00A01EC1">
      <w:pPr>
        <w:pStyle w:val="BodyText"/>
        <w:spacing w:before="10"/>
        <w:rPr>
          <w:sz w:val="23"/>
        </w:rPr>
      </w:pPr>
    </w:p>
    <w:p w14:paraId="5E4FE238" w14:textId="77777777" w:rsidR="00A01EC1" w:rsidRDefault="00D63FE6">
      <w:pPr>
        <w:pStyle w:val="BodyText"/>
        <w:ind w:left="120" w:right="123"/>
        <w:jc w:val="both"/>
      </w:pPr>
      <w:r>
        <w:t>if these include progression arrangements in the same subject area as the proposal,</w:t>
      </w:r>
      <w:r>
        <w:rPr>
          <w:spacing w:val="-5"/>
        </w:rPr>
        <w:t xml:space="preserve"> </w:t>
      </w:r>
      <w:proofErr w:type="gramStart"/>
      <w:r>
        <w:t>that</w:t>
      </w:r>
      <w:proofErr w:type="gramEnd"/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selected.</w:t>
      </w:r>
    </w:p>
    <w:p w14:paraId="7ACAF93C" w14:textId="77777777" w:rsidR="00A01EC1" w:rsidRDefault="00A01EC1">
      <w:pPr>
        <w:pStyle w:val="BodyText"/>
        <w:rPr>
          <w:sz w:val="26"/>
        </w:rPr>
      </w:pPr>
    </w:p>
    <w:p w14:paraId="57C86476" w14:textId="77777777" w:rsidR="00A01EC1" w:rsidRDefault="00D63FE6">
      <w:pPr>
        <w:pStyle w:val="Heading1"/>
        <w:numPr>
          <w:ilvl w:val="0"/>
          <w:numId w:val="1"/>
        </w:numPr>
        <w:tabs>
          <w:tab w:val="left" w:pos="481"/>
        </w:tabs>
        <w:spacing w:before="231"/>
        <w:ind w:hanging="360"/>
        <w:jc w:val="both"/>
      </w:pPr>
      <w:r>
        <w:t>Entry</w:t>
      </w:r>
      <w:r>
        <w:rPr>
          <w:spacing w:val="-9"/>
        </w:rPr>
        <w:t xml:space="preserve"> </w:t>
      </w:r>
      <w:r>
        <w:t>Requirements</w:t>
      </w:r>
    </w:p>
    <w:p w14:paraId="3DC2F1D6" w14:textId="77777777" w:rsidR="00A01EC1" w:rsidRDefault="00A01EC1">
      <w:pPr>
        <w:pStyle w:val="BodyText"/>
        <w:spacing w:before="9"/>
        <w:rPr>
          <w:b/>
          <w:sz w:val="23"/>
        </w:rPr>
      </w:pPr>
    </w:p>
    <w:p w14:paraId="4EA84C64" w14:textId="39ECADF1" w:rsidR="00A01EC1" w:rsidRDefault="00D63FE6" w:rsidP="00B554FE">
      <w:pPr>
        <w:pStyle w:val="BodyText"/>
        <w:spacing w:before="77"/>
        <w:ind w:right="111"/>
        <w:jc w:val="both"/>
      </w:pPr>
      <w:r>
        <w:t xml:space="preserve">The School will determine the compatibility of the partner’s </w:t>
      </w:r>
      <w:proofErr w:type="spellStart"/>
      <w:r>
        <w:t>programme</w:t>
      </w:r>
      <w:proofErr w:type="spellEnd"/>
      <w:r>
        <w:t xml:space="preserve">(s) with the entry criteria of the </w:t>
      </w:r>
      <w:proofErr w:type="spellStart"/>
      <w:r>
        <w:t>programme</w:t>
      </w:r>
      <w:proofErr w:type="spellEnd"/>
      <w:r>
        <w:t>(s) to which progression is proposed.</w:t>
      </w:r>
      <w:r w:rsidR="00883B2D">
        <w:t xml:space="preserve"> </w:t>
      </w:r>
      <w:r>
        <w:t>The School will ensure that academic entry requirements are in line with existing</w:t>
      </w:r>
      <w:r>
        <w:rPr>
          <w:spacing w:val="-14"/>
        </w:rPr>
        <w:t xml:space="preserve"> </w:t>
      </w:r>
      <w:r>
        <w:lastRenderedPageBreak/>
        <w:t>standard</w:t>
      </w:r>
      <w:r>
        <w:rPr>
          <w:spacing w:val="-13"/>
        </w:rPr>
        <w:t xml:space="preserve"> </w:t>
      </w:r>
      <w:r>
        <w:t>entry</w:t>
      </w:r>
      <w:r>
        <w:rPr>
          <w:spacing w:val="-15"/>
        </w:rPr>
        <w:t xml:space="preserve"> </w:t>
      </w:r>
      <w:r>
        <w:t>criteria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recommend,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necessary,</w:t>
      </w:r>
      <w:r>
        <w:rPr>
          <w:spacing w:val="-12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pass</w:t>
      </w:r>
      <w:r>
        <w:rPr>
          <w:spacing w:val="-11"/>
        </w:rPr>
        <w:t xml:space="preserve"> </w:t>
      </w:r>
      <w:r>
        <w:t>criteria (including where appropriate, English Language requirements) which students must achieve for entry onto the University</w:t>
      </w:r>
      <w:r>
        <w:rPr>
          <w:spacing w:val="-16"/>
        </w:rPr>
        <w:t xml:space="preserve"> </w:t>
      </w:r>
      <w:proofErr w:type="spellStart"/>
      <w:r>
        <w:t>programme</w:t>
      </w:r>
      <w:proofErr w:type="spellEnd"/>
      <w:r>
        <w:t>(s).</w:t>
      </w:r>
    </w:p>
    <w:p w14:paraId="29876F66" w14:textId="77777777" w:rsidR="00A01EC1" w:rsidRDefault="00A01EC1">
      <w:pPr>
        <w:pStyle w:val="BodyText"/>
      </w:pPr>
    </w:p>
    <w:p w14:paraId="4BC95214" w14:textId="5E1E52BD" w:rsidR="00A01EC1" w:rsidRDefault="00D63FE6">
      <w:pPr>
        <w:pStyle w:val="BodyText"/>
        <w:ind w:left="120" w:right="119"/>
        <w:jc w:val="both"/>
      </w:pPr>
      <w:r>
        <w:t xml:space="preserve">The English language level required for entry should reflect existing entry requirements and students should be asked to provide evidence of English language ability </w:t>
      </w:r>
      <w:r w:rsidR="0000252E">
        <w:t>e.g.,</w:t>
      </w:r>
      <w:r>
        <w:t xml:space="preserve"> IELTS.</w:t>
      </w:r>
    </w:p>
    <w:p w14:paraId="055EA1AF" w14:textId="77777777" w:rsidR="00A01EC1" w:rsidRDefault="00A01EC1">
      <w:pPr>
        <w:pStyle w:val="BodyText"/>
      </w:pPr>
    </w:p>
    <w:p w14:paraId="1A6D76F1" w14:textId="77777777" w:rsidR="00A01EC1" w:rsidRDefault="00D63FE6">
      <w:pPr>
        <w:pStyle w:val="Heading1"/>
        <w:numPr>
          <w:ilvl w:val="0"/>
          <w:numId w:val="1"/>
        </w:numPr>
        <w:tabs>
          <w:tab w:val="left" w:pos="661"/>
        </w:tabs>
        <w:ind w:left="660" w:hanging="540"/>
        <w:jc w:val="both"/>
      </w:pPr>
      <w:r>
        <w:t>Progression</w:t>
      </w:r>
      <w:r>
        <w:rPr>
          <w:spacing w:val="-10"/>
        </w:rPr>
        <w:t xml:space="preserve"> </w:t>
      </w:r>
      <w:r>
        <w:t>Agreement</w:t>
      </w:r>
    </w:p>
    <w:p w14:paraId="7478B026" w14:textId="77777777" w:rsidR="00A01EC1" w:rsidRDefault="00A01EC1">
      <w:pPr>
        <w:pStyle w:val="BodyText"/>
        <w:spacing w:before="8"/>
        <w:rPr>
          <w:b/>
          <w:sz w:val="23"/>
        </w:rPr>
      </w:pPr>
    </w:p>
    <w:p w14:paraId="550A8F46" w14:textId="2D66031E" w:rsidR="00A01EC1" w:rsidRDefault="00D63FE6" w:rsidP="00347380">
      <w:pPr>
        <w:pStyle w:val="BodyText"/>
        <w:ind w:left="120" w:right="338"/>
        <w:jc w:val="both"/>
      </w:pPr>
      <w:r>
        <w:t xml:space="preserve">The </w:t>
      </w:r>
      <w:r w:rsidR="00592025">
        <w:t xml:space="preserve">School (EU based arrangements) or </w:t>
      </w:r>
      <w:r w:rsidR="00FA506A">
        <w:t>MCSR</w:t>
      </w:r>
      <w:r w:rsidR="00592025">
        <w:t xml:space="preserve"> (International arrangements)</w:t>
      </w:r>
      <w:r>
        <w:t xml:space="preserve"> will submit a due diligence report to the </w:t>
      </w:r>
      <w:r w:rsidR="00592025">
        <w:t>Portfolio Development Committee</w:t>
      </w:r>
      <w:r>
        <w:t xml:space="preserve"> together with a draft Progression Agreement, for which the approved template must be used.</w:t>
      </w:r>
    </w:p>
    <w:p w14:paraId="112758CF" w14:textId="77777777" w:rsidR="00A01EC1" w:rsidRDefault="00A01EC1">
      <w:pPr>
        <w:pStyle w:val="BodyText"/>
        <w:spacing w:before="11"/>
        <w:rPr>
          <w:sz w:val="23"/>
        </w:rPr>
      </w:pPr>
    </w:p>
    <w:p w14:paraId="2D86B1A7" w14:textId="6A2D4870" w:rsidR="00A01EC1" w:rsidRDefault="00592025">
      <w:pPr>
        <w:pStyle w:val="BodyText"/>
        <w:ind w:left="120" w:right="112"/>
        <w:jc w:val="both"/>
      </w:pPr>
      <w:r>
        <w:t xml:space="preserve"> For EU based arrangements u</w:t>
      </w:r>
      <w:r w:rsidR="00D63FE6">
        <w:t xml:space="preserve">pon </w:t>
      </w:r>
      <w:r>
        <w:t>Portfolio Development</w:t>
      </w:r>
      <w:r w:rsidR="00D63FE6">
        <w:t xml:space="preserve"> Committee approval of the progression proposal,</w:t>
      </w:r>
      <w:r w:rsidR="00D63FE6">
        <w:rPr>
          <w:spacing w:val="-13"/>
        </w:rPr>
        <w:t xml:space="preserve"> </w:t>
      </w:r>
      <w:r w:rsidR="00D63FE6">
        <w:t>the</w:t>
      </w:r>
      <w:r>
        <w:t xml:space="preserve"> School Dean may </w:t>
      </w:r>
      <w:proofErr w:type="spellStart"/>
      <w:r>
        <w:t>authorise</w:t>
      </w:r>
      <w:proofErr w:type="spellEnd"/>
      <w:r>
        <w:t xml:space="preserve"> the Progression Agreement and arrange for a counter </w:t>
      </w:r>
      <w:proofErr w:type="spellStart"/>
      <w:r>
        <w:t>authorisation</w:t>
      </w:r>
      <w:proofErr w:type="spellEnd"/>
      <w:r>
        <w:t xml:space="preserve"> by the partner. </w:t>
      </w:r>
      <w:r w:rsidR="00D63FE6">
        <w:rPr>
          <w:spacing w:val="-14"/>
        </w:rPr>
        <w:t xml:space="preserve"> </w:t>
      </w:r>
      <w:r w:rsidRPr="00592025">
        <w:rPr>
          <w:spacing w:val="-14"/>
        </w:rPr>
        <w:t>For international agreements the</w:t>
      </w:r>
      <w:r>
        <w:rPr>
          <w:spacing w:val="-14"/>
        </w:rPr>
        <w:t xml:space="preserve"> </w:t>
      </w:r>
      <w:r w:rsidR="00D63FE6">
        <w:t>President</w:t>
      </w:r>
      <w:r w:rsidR="00D63FE6">
        <w:rPr>
          <w:spacing w:val="-15"/>
        </w:rPr>
        <w:t xml:space="preserve"> </w:t>
      </w:r>
      <w:r w:rsidR="00D63FE6">
        <w:t>and</w:t>
      </w:r>
      <w:r w:rsidR="00D63FE6">
        <w:rPr>
          <w:spacing w:val="-15"/>
        </w:rPr>
        <w:t xml:space="preserve"> </w:t>
      </w:r>
      <w:r w:rsidR="00D63FE6">
        <w:t>Vice-Chancellor</w:t>
      </w:r>
      <w:r w:rsidR="00D63FE6">
        <w:rPr>
          <w:spacing w:val="-13"/>
        </w:rPr>
        <w:t xml:space="preserve"> </w:t>
      </w:r>
      <w:r w:rsidR="00D63FE6">
        <w:t>(or</w:t>
      </w:r>
      <w:r w:rsidR="00D63FE6">
        <w:rPr>
          <w:spacing w:val="-14"/>
        </w:rPr>
        <w:t xml:space="preserve"> </w:t>
      </w:r>
      <w:r w:rsidR="00D63FE6">
        <w:t>other</w:t>
      </w:r>
      <w:r w:rsidR="00D63FE6">
        <w:rPr>
          <w:spacing w:val="-16"/>
        </w:rPr>
        <w:t xml:space="preserve"> </w:t>
      </w:r>
      <w:r w:rsidR="00D63FE6">
        <w:t>duly</w:t>
      </w:r>
      <w:r w:rsidR="00D63FE6">
        <w:rPr>
          <w:spacing w:val="-16"/>
        </w:rPr>
        <w:t xml:space="preserve"> </w:t>
      </w:r>
      <w:proofErr w:type="spellStart"/>
      <w:r w:rsidR="00D63FE6">
        <w:t>authorised</w:t>
      </w:r>
      <w:proofErr w:type="spellEnd"/>
      <w:r w:rsidR="00D63FE6">
        <w:rPr>
          <w:spacing w:val="-14"/>
        </w:rPr>
        <w:t xml:space="preserve"> </w:t>
      </w:r>
      <w:r w:rsidR="00D63FE6">
        <w:t xml:space="preserve">delegate) will be recommended to </w:t>
      </w:r>
      <w:proofErr w:type="spellStart"/>
      <w:r w:rsidR="00D63FE6">
        <w:t>authorise</w:t>
      </w:r>
      <w:proofErr w:type="spellEnd"/>
      <w:r w:rsidR="00D63FE6">
        <w:t xml:space="preserve"> the Progression Agreement. </w:t>
      </w:r>
      <w:r>
        <w:t xml:space="preserve">Global Engagement </w:t>
      </w:r>
      <w:r w:rsidR="00D63FE6">
        <w:t>will then arrange for its</w:t>
      </w:r>
      <w:r w:rsidR="00D63FE6">
        <w:rPr>
          <w:spacing w:val="40"/>
        </w:rPr>
        <w:t xml:space="preserve"> </w:t>
      </w:r>
      <w:r w:rsidR="00D63FE6">
        <w:t xml:space="preserve">counter </w:t>
      </w:r>
      <w:proofErr w:type="spellStart"/>
      <w:r w:rsidR="00D63FE6">
        <w:t>authorisation</w:t>
      </w:r>
      <w:proofErr w:type="spellEnd"/>
      <w:r w:rsidR="00D63FE6">
        <w:t xml:space="preserve"> by the</w:t>
      </w:r>
      <w:r w:rsidR="00D63FE6">
        <w:rPr>
          <w:spacing w:val="-12"/>
        </w:rPr>
        <w:t xml:space="preserve"> </w:t>
      </w:r>
      <w:r w:rsidR="00D63FE6">
        <w:t>partner.</w:t>
      </w:r>
    </w:p>
    <w:p w14:paraId="235A0CD7" w14:textId="77777777" w:rsidR="00A01EC1" w:rsidRDefault="00A01EC1">
      <w:pPr>
        <w:pStyle w:val="BodyText"/>
        <w:spacing w:before="11"/>
        <w:rPr>
          <w:sz w:val="23"/>
        </w:rPr>
      </w:pPr>
    </w:p>
    <w:p w14:paraId="50AB5E49" w14:textId="3E062AEC" w:rsidR="00A01EC1" w:rsidRDefault="009B4313">
      <w:pPr>
        <w:pStyle w:val="BodyText"/>
        <w:ind w:left="120" w:right="116"/>
        <w:jc w:val="both"/>
      </w:pPr>
      <w:r>
        <w:t>P</w:t>
      </w:r>
      <w:r w:rsidR="00D63FE6">
        <w:t xml:space="preserve">rogression agreements should be agreed for a fixed </w:t>
      </w:r>
      <w:proofErr w:type="gramStart"/>
      <w:r w:rsidR="00D63FE6">
        <w:t>period of time</w:t>
      </w:r>
      <w:proofErr w:type="gramEnd"/>
      <w:r w:rsidR="00D63FE6">
        <w:t xml:space="preserve"> not exceeding 5 years and should be reviewed by the</w:t>
      </w:r>
      <w:r>
        <w:t xml:space="preserve"> School (</w:t>
      </w:r>
      <w:proofErr w:type="gramStart"/>
      <w:r>
        <w:t>EU based</w:t>
      </w:r>
      <w:proofErr w:type="gramEnd"/>
      <w:r>
        <w:t xml:space="preserve"> arrangements) or </w:t>
      </w:r>
      <w:r w:rsidR="00FA506A">
        <w:t>MCSR</w:t>
      </w:r>
      <w:r w:rsidR="00D63FE6">
        <w:t xml:space="preserve"> in liaison with the School</w:t>
      </w:r>
      <w:r>
        <w:t xml:space="preserve"> (International arrangements)</w:t>
      </w:r>
      <w:r w:rsidR="00D63FE6">
        <w:t xml:space="preserve"> on a regular basis.</w:t>
      </w:r>
    </w:p>
    <w:p w14:paraId="594CE99D" w14:textId="77777777" w:rsidR="00A01EC1" w:rsidRDefault="00A01EC1">
      <w:pPr>
        <w:pStyle w:val="BodyText"/>
        <w:spacing w:before="9"/>
        <w:rPr>
          <w:sz w:val="23"/>
        </w:rPr>
      </w:pPr>
    </w:p>
    <w:p w14:paraId="76AB16BB" w14:textId="33C26694" w:rsidR="00A01EC1" w:rsidRDefault="00D63FE6">
      <w:pPr>
        <w:pStyle w:val="BodyText"/>
        <w:spacing w:before="1"/>
        <w:ind w:left="120" w:right="117"/>
        <w:jc w:val="both"/>
      </w:pPr>
      <w:r>
        <w:t>Copies of the Agreement shall be lodged with the partner and in the</w:t>
      </w:r>
      <w:r w:rsidR="00CC23F9">
        <w:t xml:space="preserve"> School (EU based arrangements) or Global Engagement</w:t>
      </w:r>
      <w:r>
        <w:t xml:space="preserve"> </w:t>
      </w:r>
      <w:r w:rsidR="00CC23F9">
        <w:t>(i</w:t>
      </w:r>
      <w:r>
        <w:t>nternational</w:t>
      </w:r>
      <w:r w:rsidR="00CC23F9">
        <w:t xml:space="preserve"> arrangements)</w:t>
      </w:r>
      <w:r>
        <w:t>.</w:t>
      </w:r>
    </w:p>
    <w:p w14:paraId="1C93F6F3" w14:textId="77777777" w:rsidR="00A01EC1" w:rsidRDefault="00A01EC1">
      <w:pPr>
        <w:pStyle w:val="BodyText"/>
      </w:pPr>
    </w:p>
    <w:p w14:paraId="73759B38" w14:textId="77777777" w:rsidR="00A01EC1" w:rsidRDefault="00D63FE6">
      <w:pPr>
        <w:pStyle w:val="BodyText"/>
        <w:ind w:left="120"/>
        <w:jc w:val="both"/>
        <w:rPr>
          <w:u w:val="single"/>
        </w:rPr>
      </w:pPr>
      <w:r>
        <w:rPr>
          <w:u w:val="single"/>
        </w:rPr>
        <w:t>Financial Considerations</w:t>
      </w:r>
    </w:p>
    <w:p w14:paraId="01D0B679" w14:textId="77777777" w:rsidR="00A65457" w:rsidRDefault="00A65457">
      <w:pPr>
        <w:pStyle w:val="BodyText"/>
        <w:ind w:left="120"/>
        <w:jc w:val="both"/>
        <w:rPr>
          <w:u w:val="single"/>
        </w:rPr>
      </w:pPr>
    </w:p>
    <w:p w14:paraId="3EF4EEA3" w14:textId="77777777" w:rsidR="00A65457" w:rsidRDefault="00A65457">
      <w:pPr>
        <w:pStyle w:val="BodyText"/>
        <w:ind w:left="120"/>
        <w:jc w:val="both"/>
      </w:pPr>
      <w:r>
        <w:rPr>
          <w:u w:val="single"/>
        </w:rPr>
        <w:t>For EU based arrangements:</w:t>
      </w:r>
    </w:p>
    <w:p w14:paraId="5573C346" w14:textId="77777777" w:rsidR="00A01EC1" w:rsidRDefault="00A01EC1">
      <w:pPr>
        <w:pStyle w:val="BodyText"/>
        <w:spacing w:before="11"/>
        <w:rPr>
          <w:sz w:val="15"/>
        </w:rPr>
      </w:pPr>
    </w:p>
    <w:p w14:paraId="55174007" w14:textId="77777777" w:rsidR="00A65457" w:rsidRDefault="00A65457" w:rsidP="00A65457">
      <w:pPr>
        <w:pStyle w:val="BodyText"/>
        <w:spacing w:before="92"/>
        <w:ind w:left="120" w:right="112"/>
        <w:jc w:val="both"/>
      </w:pPr>
      <w:r>
        <w:t xml:space="preserve">In normal circumstances, the partner shall pay any reasonable costs associated with consideration of the proposed progression arrangement. The PDC may waive such costs </w:t>
      </w:r>
      <w:proofErr w:type="gramStart"/>
      <w:r>
        <w:t>at</w:t>
      </w:r>
      <w:proofErr w:type="gramEnd"/>
      <w:r>
        <w:t xml:space="preserve"> the recommendation of its Chair. In the event a partner expects some form of tuition fee discount or</w:t>
      </w:r>
      <w:r>
        <w:rPr>
          <w:spacing w:val="-33"/>
        </w:rPr>
        <w:t xml:space="preserve"> </w:t>
      </w:r>
      <w:r>
        <w:t>scholarship, the School is responsible for agreeing the financial arrangement in consultation with the Director of</w:t>
      </w:r>
      <w:r>
        <w:rPr>
          <w:spacing w:val="-7"/>
        </w:rPr>
        <w:t xml:space="preserve"> </w:t>
      </w:r>
      <w:r>
        <w:t>Finance.</w:t>
      </w:r>
    </w:p>
    <w:p w14:paraId="78002016" w14:textId="77777777" w:rsidR="00A65457" w:rsidRDefault="00A65457" w:rsidP="00A65457">
      <w:pPr>
        <w:pStyle w:val="BodyText"/>
        <w:spacing w:before="92"/>
        <w:ind w:left="120" w:right="112"/>
        <w:jc w:val="both"/>
      </w:pPr>
    </w:p>
    <w:p w14:paraId="37DBDA23" w14:textId="77777777" w:rsidR="00A65457" w:rsidRDefault="00A65457" w:rsidP="00A65457">
      <w:pPr>
        <w:pStyle w:val="BodyText"/>
        <w:spacing w:before="92"/>
        <w:ind w:left="120" w:right="112"/>
        <w:jc w:val="both"/>
      </w:pPr>
      <w:r>
        <w:t>For International Arrangements:</w:t>
      </w:r>
    </w:p>
    <w:p w14:paraId="084C4B28" w14:textId="2C2A14AF" w:rsidR="00A01EC1" w:rsidRDefault="00D63FE6" w:rsidP="00A65457">
      <w:pPr>
        <w:pStyle w:val="BodyText"/>
        <w:spacing w:before="92"/>
        <w:ind w:left="120" w:right="112"/>
        <w:jc w:val="both"/>
      </w:pPr>
      <w:r>
        <w:t xml:space="preserve">In the event a partner expects some form of </w:t>
      </w:r>
      <w:proofErr w:type="gramStart"/>
      <w:r>
        <w:t>tuition fee</w:t>
      </w:r>
      <w:proofErr w:type="gramEnd"/>
      <w:r>
        <w:t xml:space="preserve"> discount or</w:t>
      </w:r>
      <w:r>
        <w:rPr>
          <w:spacing w:val="-33"/>
        </w:rPr>
        <w:t xml:space="preserve"> </w:t>
      </w:r>
      <w:r>
        <w:t xml:space="preserve">scholarship, </w:t>
      </w:r>
      <w:r w:rsidR="00FA506A">
        <w:t>MCSR</w:t>
      </w:r>
      <w:r>
        <w:t xml:space="preserve"> in consultation with the School are responsible for agreeing the financial arrangement in consultation with the Director of</w:t>
      </w:r>
      <w:r>
        <w:rPr>
          <w:spacing w:val="-7"/>
        </w:rPr>
        <w:t xml:space="preserve"> </w:t>
      </w:r>
      <w:r>
        <w:t>Finance.</w:t>
      </w:r>
    </w:p>
    <w:p w14:paraId="71EBFA38" w14:textId="4C58F959" w:rsidR="00A01EC1" w:rsidRDefault="00A01EC1">
      <w:pPr>
        <w:pStyle w:val="BodyText"/>
        <w:spacing w:before="11"/>
        <w:rPr>
          <w:sz w:val="23"/>
        </w:rPr>
      </w:pPr>
    </w:p>
    <w:p w14:paraId="0C629943" w14:textId="77777777" w:rsidR="0000252E" w:rsidRDefault="0000252E">
      <w:pPr>
        <w:pStyle w:val="BodyText"/>
        <w:spacing w:before="11"/>
        <w:rPr>
          <w:sz w:val="23"/>
        </w:rPr>
      </w:pPr>
    </w:p>
    <w:p w14:paraId="04EB3B7F" w14:textId="77777777" w:rsidR="00A01EC1" w:rsidRDefault="00D63FE6">
      <w:pPr>
        <w:pStyle w:val="Heading1"/>
      </w:pPr>
      <w:r>
        <w:lastRenderedPageBreak/>
        <w:t>Monitoring and Review</w:t>
      </w:r>
    </w:p>
    <w:p w14:paraId="4F562212" w14:textId="77777777" w:rsidR="00A01EC1" w:rsidRDefault="00A01EC1">
      <w:pPr>
        <w:pStyle w:val="BodyText"/>
        <w:spacing w:before="10"/>
        <w:rPr>
          <w:b/>
          <w:sz w:val="23"/>
        </w:rPr>
      </w:pPr>
    </w:p>
    <w:p w14:paraId="3665E973" w14:textId="01BF6B00" w:rsidR="00A01EC1" w:rsidRDefault="007677BA">
      <w:pPr>
        <w:pStyle w:val="BodyText"/>
        <w:ind w:left="120" w:right="113"/>
        <w:jc w:val="both"/>
      </w:pPr>
      <w:r>
        <w:t xml:space="preserve">For EU based arrangements the School is responsible for monitoring and evaluating the progression arrangements in accordance with the Agreement. For international arrangements </w:t>
      </w:r>
      <w:r w:rsidR="00FA506A">
        <w:t>MCSR</w:t>
      </w:r>
      <w:r>
        <w:t>,</w:t>
      </w:r>
      <w:r w:rsidR="00D63FE6">
        <w:rPr>
          <w:spacing w:val="-18"/>
        </w:rPr>
        <w:t xml:space="preserve"> </w:t>
      </w:r>
      <w:r w:rsidR="00D63FE6">
        <w:t>in</w:t>
      </w:r>
      <w:r w:rsidR="00D63FE6">
        <w:rPr>
          <w:spacing w:val="-18"/>
        </w:rPr>
        <w:t xml:space="preserve"> </w:t>
      </w:r>
      <w:r w:rsidR="00D63FE6">
        <w:t>liaison</w:t>
      </w:r>
      <w:r w:rsidR="00D63FE6">
        <w:rPr>
          <w:spacing w:val="-17"/>
        </w:rPr>
        <w:t xml:space="preserve"> </w:t>
      </w:r>
      <w:r w:rsidR="00D63FE6">
        <w:t>with</w:t>
      </w:r>
      <w:r w:rsidR="00D63FE6">
        <w:rPr>
          <w:spacing w:val="-17"/>
        </w:rPr>
        <w:t xml:space="preserve"> </w:t>
      </w:r>
      <w:r w:rsidR="00D63FE6">
        <w:t>the</w:t>
      </w:r>
      <w:r w:rsidR="00D63FE6">
        <w:rPr>
          <w:spacing w:val="-15"/>
        </w:rPr>
        <w:t xml:space="preserve"> </w:t>
      </w:r>
      <w:r w:rsidR="00D63FE6">
        <w:t>School</w:t>
      </w:r>
      <w:r>
        <w:t>,</w:t>
      </w:r>
      <w:r w:rsidR="00D63FE6">
        <w:rPr>
          <w:spacing w:val="-18"/>
        </w:rPr>
        <w:t xml:space="preserve"> </w:t>
      </w:r>
      <w:r w:rsidR="00D63FE6">
        <w:t>is</w:t>
      </w:r>
      <w:r w:rsidR="00D63FE6">
        <w:rPr>
          <w:spacing w:val="-18"/>
        </w:rPr>
        <w:t xml:space="preserve"> </w:t>
      </w:r>
      <w:r w:rsidR="00D63FE6">
        <w:t>responsible for</w:t>
      </w:r>
      <w:r w:rsidR="00D63FE6">
        <w:rPr>
          <w:spacing w:val="-13"/>
        </w:rPr>
        <w:t xml:space="preserve"> </w:t>
      </w:r>
      <w:r w:rsidR="00D63FE6">
        <w:t>monitoring</w:t>
      </w:r>
      <w:r w:rsidR="00D63FE6">
        <w:rPr>
          <w:spacing w:val="-14"/>
        </w:rPr>
        <w:t xml:space="preserve"> </w:t>
      </w:r>
      <w:r w:rsidR="00D63FE6">
        <w:t>and</w:t>
      </w:r>
      <w:r w:rsidR="00D63FE6">
        <w:rPr>
          <w:spacing w:val="-13"/>
        </w:rPr>
        <w:t xml:space="preserve"> </w:t>
      </w:r>
      <w:r w:rsidR="00D63FE6">
        <w:t>evaluating</w:t>
      </w:r>
      <w:r w:rsidR="00D63FE6">
        <w:rPr>
          <w:spacing w:val="-14"/>
        </w:rPr>
        <w:t xml:space="preserve"> </w:t>
      </w:r>
      <w:r w:rsidR="00D63FE6">
        <w:t>the</w:t>
      </w:r>
      <w:r w:rsidR="00D63FE6">
        <w:rPr>
          <w:spacing w:val="-13"/>
        </w:rPr>
        <w:t xml:space="preserve"> </w:t>
      </w:r>
      <w:r w:rsidR="00D63FE6">
        <w:t>progression</w:t>
      </w:r>
      <w:r w:rsidR="00D63FE6">
        <w:rPr>
          <w:spacing w:val="-10"/>
        </w:rPr>
        <w:t xml:space="preserve"> </w:t>
      </w:r>
      <w:r w:rsidR="00D63FE6">
        <w:t>arrangements</w:t>
      </w:r>
      <w:r w:rsidR="00D63FE6">
        <w:rPr>
          <w:spacing w:val="-12"/>
        </w:rPr>
        <w:t xml:space="preserve"> </w:t>
      </w:r>
      <w:r w:rsidR="00D63FE6">
        <w:t>in</w:t>
      </w:r>
      <w:r w:rsidR="00D63FE6">
        <w:rPr>
          <w:spacing w:val="-13"/>
        </w:rPr>
        <w:t xml:space="preserve"> </w:t>
      </w:r>
      <w:r w:rsidR="00D63FE6">
        <w:t>accordance</w:t>
      </w:r>
      <w:r w:rsidR="00D63FE6">
        <w:rPr>
          <w:spacing w:val="-13"/>
        </w:rPr>
        <w:t xml:space="preserve"> </w:t>
      </w:r>
      <w:r w:rsidR="00D63FE6">
        <w:t>with the</w:t>
      </w:r>
      <w:r w:rsidR="00D63FE6">
        <w:rPr>
          <w:spacing w:val="-6"/>
        </w:rPr>
        <w:t xml:space="preserve"> </w:t>
      </w:r>
      <w:r w:rsidR="00D63FE6">
        <w:t>Agreement.</w:t>
      </w:r>
    </w:p>
    <w:p w14:paraId="7EB9C39B" w14:textId="77777777" w:rsidR="00A01EC1" w:rsidRDefault="00A01EC1">
      <w:pPr>
        <w:pStyle w:val="BodyText"/>
        <w:spacing w:before="10"/>
        <w:rPr>
          <w:sz w:val="23"/>
        </w:rPr>
      </w:pPr>
    </w:p>
    <w:p w14:paraId="3792018D" w14:textId="4007B896" w:rsidR="00A01EC1" w:rsidRDefault="00D63FE6" w:rsidP="00580BEF">
      <w:pPr>
        <w:pStyle w:val="BodyText"/>
        <w:ind w:left="120" w:right="218"/>
        <w:jc w:val="both"/>
      </w:pPr>
      <w:r>
        <w:t xml:space="preserve">The renewal of the Agreement will be at the discretion of </w:t>
      </w:r>
      <w:r w:rsidR="007677BA">
        <w:t xml:space="preserve">PDC </w:t>
      </w:r>
      <w:r>
        <w:t>on the recommendation of the</w:t>
      </w:r>
      <w:r w:rsidR="007677BA">
        <w:t xml:space="preserve"> School (EU arrangements), or </w:t>
      </w:r>
      <w:r w:rsidR="00FA506A">
        <w:t>MCSR</w:t>
      </w:r>
      <w:r>
        <w:t xml:space="preserve"> in liaison with the School</w:t>
      </w:r>
      <w:r w:rsidR="007677BA">
        <w:t xml:space="preserve"> (International arrangements)</w:t>
      </w:r>
      <w:r>
        <w:t>. The renewal process will follow the process outlined above for initial approval.</w:t>
      </w:r>
    </w:p>
    <w:sectPr w:rsidR="00A01EC1">
      <w:pgSz w:w="11910" w:h="16840"/>
      <w:pgMar w:top="1320" w:right="1680" w:bottom="1860" w:left="1680" w:header="0" w:footer="1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9BAB" w14:textId="77777777" w:rsidR="00EF55EF" w:rsidRDefault="00EF55EF">
      <w:r>
        <w:separator/>
      </w:r>
    </w:p>
  </w:endnote>
  <w:endnote w:type="continuationSeparator" w:id="0">
    <w:p w14:paraId="26D19F85" w14:textId="77777777" w:rsidR="00EF55EF" w:rsidRDefault="00EF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4B9E" w14:textId="77777777" w:rsidR="006D24DA" w:rsidRDefault="006D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C7FD" w14:textId="1CF6F69A" w:rsidR="00A01EC1" w:rsidRDefault="005A78B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008" behindDoc="1" locked="0" layoutInCell="1" allowOverlap="1" wp14:anchorId="1F018D0A" wp14:editId="3DA5CEAF">
              <wp:simplePos x="0" y="0"/>
              <wp:positionH relativeFrom="page">
                <wp:posOffset>1131570</wp:posOffset>
              </wp:positionH>
              <wp:positionV relativeFrom="page">
                <wp:posOffset>9497060</wp:posOffset>
              </wp:positionV>
              <wp:extent cx="5292090" cy="255270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209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0C5CF" w14:textId="04E43EF9" w:rsidR="00A01EC1" w:rsidRDefault="00D63FE6">
                          <w:pPr>
                            <w:spacing w:before="14"/>
                            <w:ind w:left="2343" w:right="-3" w:hanging="232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Academic Handbook 20</w:t>
                          </w:r>
                          <w:r w:rsidR="00AD6883">
                            <w:rPr>
                              <w:sz w:val="16"/>
                            </w:rPr>
                            <w:t>2</w:t>
                          </w:r>
                          <w:r w:rsidR="006D24DA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  <w:r w:rsidR="006D24DA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 xml:space="preserve"> – Volume 2 – 10.</w:t>
                          </w:r>
                          <w:r w:rsidR="00944304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 xml:space="preserve"> – Progression to University Programmes: Approval Procedure – introduced 31.01.19</w:t>
                          </w:r>
                          <w:r w:rsidR="00B15386">
                            <w:rPr>
                              <w:sz w:val="16"/>
                            </w:rPr>
                            <w:t>;</w:t>
                          </w:r>
                          <w:r w:rsidR="00895D6C">
                            <w:rPr>
                              <w:sz w:val="16"/>
                            </w:rPr>
                            <w:t xml:space="preserve"> revised 30</w:t>
                          </w:r>
                          <w:r w:rsidR="00A94565">
                            <w:rPr>
                              <w:sz w:val="16"/>
                            </w:rPr>
                            <w:t>.</w:t>
                          </w:r>
                          <w:r w:rsidR="00895D6C">
                            <w:rPr>
                              <w:sz w:val="16"/>
                            </w:rPr>
                            <w:t>09</w:t>
                          </w:r>
                          <w:r w:rsidR="00A94565">
                            <w:rPr>
                              <w:sz w:val="16"/>
                            </w:rPr>
                            <w:t>.</w:t>
                          </w:r>
                          <w:r w:rsidR="00895D6C">
                            <w:rPr>
                              <w:sz w:val="16"/>
                            </w:rPr>
                            <w:t>19</w:t>
                          </w:r>
                          <w:r w:rsidR="0000252E">
                            <w:rPr>
                              <w:sz w:val="16"/>
                            </w:rPr>
                            <w:t>, 13.03.23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18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1pt;margin-top:747.8pt;width:416.7pt;height:20.1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" filled="f" stroked="f">
              <v:textbox inset="0,0,0,0">
                <w:txbxContent>
                  <w:p w14:paraId="7A90C5CF" w14:textId="04E43EF9" w:rsidR="00A01EC1" w:rsidRDefault="00D63FE6">
                    <w:pPr>
                      <w:spacing w:before="14"/>
                      <w:ind w:left="2343" w:right="-3" w:hanging="23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Academic Handbook 20</w:t>
                    </w:r>
                    <w:r w:rsidR="00AD6883">
                      <w:rPr>
                        <w:sz w:val="16"/>
                      </w:rPr>
                      <w:t>2</w:t>
                    </w:r>
                    <w:r w:rsidR="006D24DA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/2</w:t>
                    </w:r>
                    <w:r w:rsidR="006D24DA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 xml:space="preserve"> – Volume 2 – 10.</w:t>
                    </w:r>
                    <w:r w:rsidR="00944304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 xml:space="preserve"> – Progression to University Programmes: Approval Procedure – introduced 31.01.19</w:t>
                    </w:r>
                    <w:r w:rsidR="00B15386">
                      <w:rPr>
                        <w:sz w:val="16"/>
                      </w:rPr>
                      <w:t>;</w:t>
                    </w:r>
                    <w:r w:rsidR="00895D6C">
                      <w:rPr>
                        <w:sz w:val="16"/>
                      </w:rPr>
                      <w:t xml:space="preserve"> revised 30</w:t>
                    </w:r>
                    <w:r w:rsidR="00A94565">
                      <w:rPr>
                        <w:sz w:val="16"/>
                      </w:rPr>
                      <w:t>.</w:t>
                    </w:r>
                    <w:r w:rsidR="00895D6C">
                      <w:rPr>
                        <w:sz w:val="16"/>
                      </w:rPr>
                      <w:t>09</w:t>
                    </w:r>
                    <w:r w:rsidR="00A94565">
                      <w:rPr>
                        <w:sz w:val="16"/>
                      </w:rPr>
                      <w:t>.</w:t>
                    </w:r>
                    <w:r w:rsidR="00895D6C">
                      <w:rPr>
                        <w:sz w:val="16"/>
                      </w:rPr>
                      <w:t>19</w:t>
                    </w:r>
                    <w:r w:rsidR="0000252E">
                      <w:rPr>
                        <w:sz w:val="16"/>
                      </w:rPr>
                      <w:t>, 13.03.23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032" behindDoc="1" locked="0" layoutInCell="1" allowOverlap="1" wp14:anchorId="509CD9CB" wp14:editId="5F2934E8">
              <wp:simplePos x="0" y="0"/>
              <wp:positionH relativeFrom="page">
                <wp:posOffset>3719830</wp:posOffset>
              </wp:positionH>
              <wp:positionV relativeFrom="page">
                <wp:posOffset>9903460</wp:posOffset>
              </wp:positionV>
              <wp:extent cx="120650" cy="18034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30113" w14:textId="3E894B44" w:rsidR="00A01EC1" w:rsidRDefault="00D63FE6">
                          <w:pPr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2898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CD9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9pt;margin-top:779.8pt;width:9.5pt;height:14.2pt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vPO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" filled="f" stroked="f">
              <v:textbox inset="0,0,0,0">
                <w:txbxContent>
                  <w:p w14:paraId="06930113" w14:textId="3E894B44" w:rsidR="00A01EC1" w:rsidRDefault="00D63FE6">
                    <w:pPr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2898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57CF" w14:textId="77777777" w:rsidR="006D24DA" w:rsidRDefault="006D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5F2D" w14:textId="77777777" w:rsidR="00EF55EF" w:rsidRDefault="00EF55EF">
      <w:r>
        <w:separator/>
      </w:r>
    </w:p>
  </w:footnote>
  <w:footnote w:type="continuationSeparator" w:id="0">
    <w:p w14:paraId="39FDD2FA" w14:textId="77777777" w:rsidR="00EF55EF" w:rsidRDefault="00EF5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1733" w14:textId="77777777" w:rsidR="006D24DA" w:rsidRDefault="006D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D07A" w14:textId="77777777" w:rsidR="006D24DA" w:rsidRDefault="006D2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7F3F" w14:textId="77777777" w:rsidR="006D24DA" w:rsidRDefault="006D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F13"/>
    <w:multiLevelType w:val="hybridMultilevel"/>
    <w:tmpl w:val="1C380B72"/>
    <w:lvl w:ilvl="0" w:tplc="7706C072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b/>
        <w:bCs/>
        <w:spacing w:val="-3"/>
        <w:w w:val="98"/>
        <w:sz w:val="24"/>
        <w:szCs w:val="24"/>
      </w:rPr>
    </w:lvl>
    <w:lvl w:ilvl="1" w:tplc="8850CF84">
      <w:numFmt w:val="bullet"/>
      <w:lvlText w:val="•"/>
      <w:lvlJc w:val="left"/>
      <w:pPr>
        <w:ind w:left="1287" w:hanging="361"/>
      </w:pPr>
      <w:rPr>
        <w:rFonts w:hint="default"/>
      </w:rPr>
    </w:lvl>
    <w:lvl w:ilvl="2" w:tplc="A4F60FDE">
      <w:numFmt w:val="bullet"/>
      <w:lvlText w:val="•"/>
      <w:lvlJc w:val="left"/>
      <w:pPr>
        <w:ind w:left="2094" w:hanging="361"/>
      </w:pPr>
      <w:rPr>
        <w:rFonts w:hint="default"/>
      </w:rPr>
    </w:lvl>
    <w:lvl w:ilvl="3" w:tplc="02AE3672">
      <w:numFmt w:val="bullet"/>
      <w:lvlText w:val="•"/>
      <w:lvlJc w:val="left"/>
      <w:pPr>
        <w:ind w:left="2901" w:hanging="361"/>
      </w:pPr>
      <w:rPr>
        <w:rFonts w:hint="default"/>
      </w:rPr>
    </w:lvl>
    <w:lvl w:ilvl="4" w:tplc="4170D4FC">
      <w:numFmt w:val="bullet"/>
      <w:lvlText w:val="•"/>
      <w:lvlJc w:val="left"/>
      <w:pPr>
        <w:ind w:left="3708" w:hanging="361"/>
      </w:pPr>
      <w:rPr>
        <w:rFonts w:hint="default"/>
      </w:rPr>
    </w:lvl>
    <w:lvl w:ilvl="5" w:tplc="68A62BA0">
      <w:numFmt w:val="bullet"/>
      <w:lvlText w:val="•"/>
      <w:lvlJc w:val="left"/>
      <w:pPr>
        <w:ind w:left="4515" w:hanging="361"/>
      </w:pPr>
      <w:rPr>
        <w:rFonts w:hint="default"/>
      </w:rPr>
    </w:lvl>
    <w:lvl w:ilvl="6" w:tplc="0F00AE20">
      <w:numFmt w:val="bullet"/>
      <w:lvlText w:val="•"/>
      <w:lvlJc w:val="left"/>
      <w:pPr>
        <w:ind w:left="5322" w:hanging="361"/>
      </w:pPr>
      <w:rPr>
        <w:rFonts w:hint="default"/>
      </w:rPr>
    </w:lvl>
    <w:lvl w:ilvl="7" w:tplc="809C3FB0">
      <w:numFmt w:val="bullet"/>
      <w:lvlText w:val="•"/>
      <w:lvlJc w:val="left"/>
      <w:pPr>
        <w:ind w:left="6129" w:hanging="361"/>
      </w:pPr>
      <w:rPr>
        <w:rFonts w:hint="default"/>
      </w:rPr>
    </w:lvl>
    <w:lvl w:ilvl="8" w:tplc="965A80A6">
      <w:numFmt w:val="bullet"/>
      <w:lvlText w:val="•"/>
      <w:lvlJc w:val="left"/>
      <w:pPr>
        <w:ind w:left="6936" w:hanging="361"/>
      </w:pPr>
      <w:rPr>
        <w:rFonts w:hint="default"/>
      </w:rPr>
    </w:lvl>
  </w:abstractNum>
  <w:num w:numId="1" w16cid:durableId="59664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C1"/>
    <w:rsid w:val="0000252E"/>
    <w:rsid w:val="0013125C"/>
    <w:rsid w:val="00167CC3"/>
    <w:rsid w:val="001E0FA6"/>
    <w:rsid w:val="001F6CEE"/>
    <w:rsid w:val="002A241A"/>
    <w:rsid w:val="002D229B"/>
    <w:rsid w:val="002D7E22"/>
    <w:rsid w:val="00347380"/>
    <w:rsid w:val="004A17C9"/>
    <w:rsid w:val="004D2B42"/>
    <w:rsid w:val="005665CA"/>
    <w:rsid w:val="00580BEF"/>
    <w:rsid w:val="0059044C"/>
    <w:rsid w:val="00592025"/>
    <w:rsid w:val="005A78BB"/>
    <w:rsid w:val="006D24DA"/>
    <w:rsid w:val="007677BA"/>
    <w:rsid w:val="00783C99"/>
    <w:rsid w:val="00883B2D"/>
    <w:rsid w:val="00895D6C"/>
    <w:rsid w:val="009016DB"/>
    <w:rsid w:val="00944304"/>
    <w:rsid w:val="009B4313"/>
    <w:rsid w:val="00A01EC1"/>
    <w:rsid w:val="00A65457"/>
    <w:rsid w:val="00A94565"/>
    <w:rsid w:val="00AD6883"/>
    <w:rsid w:val="00B15386"/>
    <w:rsid w:val="00B554FE"/>
    <w:rsid w:val="00BB3F02"/>
    <w:rsid w:val="00BE5B85"/>
    <w:rsid w:val="00C037B6"/>
    <w:rsid w:val="00CC23F9"/>
    <w:rsid w:val="00D63FE6"/>
    <w:rsid w:val="00E35CEB"/>
    <w:rsid w:val="00E456D5"/>
    <w:rsid w:val="00EA2898"/>
    <w:rsid w:val="00EF55EF"/>
    <w:rsid w:val="00FA506A"/>
    <w:rsid w:val="00F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C5789"/>
  <w15:docId w15:val="{2367DF34-F4C8-4EF8-BC94-D4DB2C7F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2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25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5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D6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5D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D6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1" ma:contentTypeDescription="Create a new document." ma:contentTypeScope="" ma:versionID="fb5de9af8d9f7821adf97d58e507d94e">
  <xsd:schema xmlns:xsd="http://www.w3.org/2001/XMLSchema" xmlns:xs="http://www.w3.org/2001/XMLSchema" xmlns:p="http://schemas.microsoft.com/office/2006/metadata/properties" xmlns:ns2="e8a7e8a4-ea5f-4035-9e71-8fb8c3e5fee7" targetNamespace="http://schemas.microsoft.com/office/2006/metadata/properties" ma:root="true" ma:fieldsID="84d943b5447bcd994f090126b42c226c" ns2:_="">
    <xsd:import namespace="e8a7e8a4-ea5f-4035-9e71-8fb8c3e5fee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7e8a4-ea5f-4035-9e71-8fb8c3e5fe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E804F-5027-4301-8159-15E1D3C44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113E0-155D-4906-90BB-3ECA2E2DB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82490-5A3B-4817-9FB3-A18664D3D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7e8a4-ea5f-4035-9e71-8fb8c3e5f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715</Words>
  <Characters>4297</Characters>
  <Application>Microsoft Office Word</Application>
  <DocSecurity>0</DocSecurity>
  <Lines>124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George, Chris</dc:creator>
  <cp:lastModifiedBy>Wildsmith, Duncan</cp:lastModifiedBy>
  <cp:revision>8</cp:revision>
  <dcterms:created xsi:type="dcterms:W3CDTF">2023-03-13T14:32:00Z</dcterms:created>
  <dcterms:modified xsi:type="dcterms:W3CDTF">2026-04-01T11:17:00Z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  <property fmtid="{D5CDD505-2E9C-101B-9397-08002B2CF9AE}" pid="5" name="ContentTypeId">
    <vt:lpwstr>0x010100EF36D09BF0B18A478A59D10A0E70415C</vt:lpwstr>
  </property>
</Properties>
</file>