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A289" w14:textId="77777777" w:rsidR="00163D31" w:rsidRDefault="00163D31">
      <w:pPr>
        <w:pStyle w:val="BodyText"/>
        <w:rPr>
          <w:rFonts w:ascii="Times New Roman"/>
          <w:sz w:val="20"/>
        </w:rPr>
      </w:pPr>
    </w:p>
    <w:p w14:paraId="2F1D243B" w14:textId="77777777" w:rsidR="00163D31" w:rsidRDefault="00163D31">
      <w:pPr>
        <w:pStyle w:val="BodyText"/>
        <w:rPr>
          <w:rFonts w:ascii="Times New Roman"/>
          <w:sz w:val="20"/>
        </w:rPr>
      </w:pPr>
    </w:p>
    <w:p w14:paraId="0C03C9B2" w14:textId="77777777" w:rsidR="00163D31" w:rsidRDefault="00163D31">
      <w:pPr>
        <w:pStyle w:val="BodyText"/>
        <w:rPr>
          <w:rFonts w:ascii="Times New Roman"/>
          <w:sz w:val="20"/>
        </w:rPr>
      </w:pPr>
    </w:p>
    <w:p w14:paraId="085D787A" w14:textId="77777777" w:rsidR="00163D31" w:rsidRDefault="00163D31">
      <w:pPr>
        <w:pStyle w:val="BodyText"/>
        <w:rPr>
          <w:rFonts w:ascii="Times New Roman"/>
          <w:sz w:val="20"/>
        </w:rPr>
      </w:pPr>
    </w:p>
    <w:p w14:paraId="04E38663" w14:textId="77777777" w:rsidR="00163D31" w:rsidRDefault="00163D31">
      <w:pPr>
        <w:pStyle w:val="BodyText"/>
        <w:rPr>
          <w:rFonts w:ascii="Times New Roman"/>
          <w:sz w:val="20"/>
        </w:rPr>
      </w:pPr>
    </w:p>
    <w:p w14:paraId="27A741EF" w14:textId="77777777" w:rsidR="00163D31" w:rsidRDefault="00163D31">
      <w:pPr>
        <w:pStyle w:val="BodyText"/>
        <w:rPr>
          <w:rFonts w:ascii="Times New Roman"/>
          <w:sz w:val="20"/>
        </w:rPr>
      </w:pPr>
    </w:p>
    <w:p w14:paraId="5699299E" w14:textId="77777777" w:rsidR="00163D31" w:rsidRDefault="00163D31">
      <w:pPr>
        <w:pStyle w:val="BodyText"/>
        <w:rPr>
          <w:rFonts w:ascii="Times New Roman"/>
          <w:sz w:val="20"/>
        </w:rPr>
      </w:pPr>
    </w:p>
    <w:p w14:paraId="4CDE6A4A" w14:textId="77777777" w:rsidR="00163D31" w:rsidRDefault="00163D31">
      <w:pPr>
        <w:pStyle w:val="BodyText"/>
        <w:rPr>
          <w:rFonts w:ascii="Times New Roman"/>
          <w:sz w:val="20"/>
        </w:rPr>
      </w:pPr>
    </w:p>
    <w:p w14:paraId="0BA07533" w14:textId="77777777" w:rsidR="00163D31" w:rsidRDefault="00163D31">
      <w:pPr>
        <w:pStyle w:val="BodyText"/>
        <w:rPr>
          <w:rFonts w:ascii="Times New Roman"/>
          <w:sz w:val="20"/>
        </w:rPr>
      </w:pPr>
    </w:p>
    <w:p w14:paraId="25BCD09D" w14:textId="77777777" w:rsidR="00163D31" w:rsidRDefault="00163D31">
      <w:pPr>
        <w:pStyle w:val="BodyText"/>
        <w:rPr>
          <w:rFonts w:ascii="Times New Roman"/>
          <w:sz w:val="20"/>
        </w:rPr>
      </w:pPr>
    </w:p>
    <w:p w14:paraId="579BDB85" w14:textId="77777777" w:rsidR="00163D31" w:rsidRDefault="00163D31">
      <w:pPr>
        <w:pStyle w:val="BodyText"/>
        <w:rPr>
          <w:rFonts w:ascii="Times New Roman"/>
          <w:sz w:val="20"/>
        </w:rPr>
      </w:pPr>
    </w:p>
    <w:p w14:paraId="114157E8" w14:textId="77777777" w:rsidR="00163D31" w:rsidRDefault="00163D31">
      <w:pPr>
        <w:pStyle w:val="BodyText"/>
        <w:rPr>
          <w:rFonts w:ascii="Times New Roman"/>
          <w:sz w:val="20"/>
        </w:rPr>
      </w:pPr>
    </w:p>
    <w:p w14:paraId="12D629EA" w14:textId="77777777" w:rsidR="00163D31" w:rsidRDefault="00163D31">
      <w:pPr>
        <w:pStyle w:val="BodyText"/>
        <w:rPr>
          <w:rFonts w:ascii="Times New Roman"/>
          <w:sz w:val="20"/>
        </w:rPr>
      </w:pPr>
    </w:p>
    <w:p w14:paraId="3D12A630" w14:textId="77777777" w:rsidR="00163D31" w:rsidRDefault="00163D31">
      <w:pPr>
        <w:pStyle w:val="BodyText"/>
        <w:rPr>
          <w:rFonts w:ascii="Times New Roman"/>
          <w:sz w:val="20"/>
        </w:rPr>
      </w:pPr>
    </w:p>
    <w:p w14:paraId="0F7E516A" w14:textId="77777777" w:rsidR="00163D31" w:rsidRDefault="00163D31">
      <w:pPr>
        <w:pStyle w:val="BodyText"/>
        <w:rPr>
          <w:rFonts w:ascii="Times New Roman"/>
          <w:sz w:val="20"/>
        </w:rPr>
      </w:pPr>
    </w:p>
    <w:p w14:paraId="7C05F80A" w14:textId="77777777" w:rsidR="00163D31" w:rsidRDefault="00163D31">
      <w:pPr>
        <w:pStyle w:val="BodyText"/>
        <w:rPr>
          <w:rFonts w:ascii="Times New Roman"/>
          <w:sz w:val="20"/>
        </w:rPr>
      </w:pPr>
    </w:p>
    <w:p w14:paraId="0C09A21B" w14:textId="77777777" w:rsidR="00163D31" w:rsidRDefault="00163D31">
      <w:pPr>
        <w:pStyle w:val="BodyText"/>
        <w:rPr>
          <w:rFonts w:ascii="Times New Roman"/>
          <w:sz w:val="20"/>
        </w:rPr>
      </w:pPr>
    </w:p>
    <w:p w14:paraId="689C8CB2" w14:textId="77777777" w:rsidR="00163D31" w:rsidRDefault="00163D31">
      <w:pPr>
        <w:pStyle w:val="BodyText"/>
        <w:rPr>
          <w:rFonts w:ascii="Times New Roman"/>
          <w:sz w:val="20"/>
        </w:rPr>
      </w:pPr>
    </w:p>
    <w:p w14:paraId="58CE6CEB" w14:textId="77777777" w:rsidR="00163D31" w:rsidRDefault="00163D31">
      <w:pPr>
        <w:pStyle w:val="BodyText"/>
        <w:rPr>
          <w:rFonts w:ascii="Times New Roman"/>
          <w:sz w:val="20"/>
        </w:rPr>
      </w:pPr>
    </w:p>
    <w:p w14:paraId="02354E90" w14:textId="77777777" w:rsidR="00163D31" w:rsidRDefault="00163D31">
      <w:pPr>
        <w:pStyle w:val="BodyText"/>
        <w:rPr>
          <w:rFonts w:ascii="Times New Roman"/>
          <w:sz w:val="20"/>
        </w:rPr>
      </w:pPr>
    </w:p>
    <w:p w14:paraId="52139FF6" w14:textId="77777777" w:rsidR="00163D31" w:rsidRDefault="00163D31">
      <w:pPr>
        <w:pStyle w:val="BodyText"/>
        <w:rPr>
          <w:rFonts w:ascii="Times New Roman"/>
          <w:sz w:val="20"/>
        </w:rPr>
      </w:pPr>
    </w:p>
    <w:p w14:paraId="55EC7C4E" w14:textId="77777777" w:rsidR="00163D31" w:rsidRDefault="00163D31">
      <w:pPr>
        <w:pStyle w:val="BodyText"/>
        <w:rPr>
          <w:rFonts w:ascii="Times New Roman"/>
          <w:sz w:val="20"/>
        </w:rPr>
      </w:pPr>
    </w:p>
    <w:p w14:paraId="6C69A84E" w14:textId="77777777" w:rsidR="00163D31" w:rsidRDefault="00163D31">
      <w:pPr>
        <w:pStyle w:val="BodyText"/>
        <w:rPr>
          <w:rFonts w:ascii="Times New Roman"/>
          <w:sz w:val="20"/>
        </w:rPr>
      </w:pPr>
    </w:p>
    <w:p w14:paraId="2C6AAEB9" w14:textId="77777777" w:rsidR="00163D31" w:rsidRDefault="00163D31">
      <w:pPr>
        <w:pStyle w:val="BodyText"/>
        <w:rPr>
          <w:rFonts w:ascii="Times New Roman"/>
          <w:sz w:val="20"/>
        </w:rPr>
      </w:pPr>
    </w:p>
    <w:p w14:paraId="13BDC8C0" w14:textId="77777777" w:rsidR="00163D31" w:rsidRDefault="00163D31">
      <w:pPr>
        <w:pStyle w:val="BodyText"/>
        <w:spacing w:before="10"/>
        <w:rPr>
          <w:rFonts w:ascii="Times New Roman"/>
          <w:sz w:val="26"/>
        </w:rPr>
      </w:pPr>
    </w:p>
    <w:p w14:paraId="72CB238C" w14:textId="77777777" w:rsidR="00163D31" w:rsidRDefault="0083063D">
      <w:pPr>
        <w:pStyle w:val="Heading1"/>
      </w:pPr>
      <w:r>
        <w:t>11.1</w:t>
      </w:r>
    </w:p>
    <w:p w14:paraId="761F9BBB" w14:textId="77777777" w:rsidR="00163D31" w:rsidRDefault="0083063D">
      <w:pPr>
        <w:spacing w:before="239"/>
        <w:ind w:left="860" w:right="857"/>
        <w:jc w:val="center"/>
        <w:rPr>
          <w:b/>
          <w:sz w:val="48"/>
        </w:rPr>
      </w:pPr>
      <w:r>
        <w:rPr>
          <w:b/>
          <w:sz w:val="48"/>
        </w:rPr>
        <w:t>EXTERNAL ASSESSMENT OF PROGRAMMES</w:t>
      </w:r>
    </w:p>
    <w:p w14:paraId="240ED8C0" w14:textId="77777777" w:rsidR="00163D31" w:rsidRDefault="00163D31">
      <w:pPr>
        <w:jc w:val="center"/>
        <w:rPr>
          <w:sz w:val="48"/>
        </w:rPr>
        <w:sectPr w:rsidR="00163D31">
          <w:footerReference w:type="default" r:id="rId10"/>
          <w:type w:val="continuous"/>
          <w:pgSz w:w="11910" w:h="16840"/>
          <w:pgMar w:top="1580" w:right="1680" w:bottom="1260" w:left="1680" w:header="720" w:footer="1078" w:gutter="0"/>
          <w:pgNumType w:start="1"/>
          <w:cols w:space="720"/>
        </w:sectPr>
      </w:pPr>
    </w:p>
    <w:p w14:paraId="689DF784" w14:textId="77777777" w:rsidR="00163D31" w:rsidRDefault="0083063D">
      <w:pPr>
        <w:pStyle w:val="Heading2"/>
        <w:spacing w:before="81" w:line="448" w:lineRule="auto"/>
        <w:ind w:left="120" w:right="3156" w:firstLine="0"/>
      </w:pPr>
      <w:r>
        <w:lastRenderedPageBreak/>
        <w:t>CARDIFF METROPOLITAN UNIVERSITY EXTERNAL ASSESSMENT OF PROGRAMMES</w:t>
      </w:r>
    </w:p>
    <w:p w14:paraId="0F2D84E2" w14:textId="77777777" w:rsidR="00163D31" w:rsidRDefault="0083063D" w:rsidP="0003131D">
      <w:pPr>
        <w:pStyle w:val="ListParagraph"/>
        <w:numPr>
          <w:ilvl w:val="0"/>
          <w:numId w:val="1"/>
        </w:numPr>
        <w:spacing w:before="6"/>
        <w:ind w:left="709" w:hanging="567"/>
        <w:rPr>
          <w:b/>
          <w:sz w:val="24"/>
        </w:rPr>
      </w:pPr>
      <w:r>
        <w:rPr>
          <w:b/>
          <w:sz w:val="24"/>
        </w:rPr>
        <w:t>Introduction</w:t>
      </w:r>
    </w:p>
    <w:p w14:paraId="604F843A" w14:textId="77777777" w:rsidR="00163D31" w:rsidRDefault="00163D31">
      <w:pPr>
        <w:pStyle w:val="BodyText"/>
        <w:spacing w:before="9"/>
        <w:rPr>
          <w:b/>
          <w:sz w:val="20"/>
        </w:rPr>
      </w:pPr>
    </w:p>
    <w:p w14:paraId="659092C3" w14:textId="77777777" w:rsidR="00163D31" w:rsidRDefault="0083063D" w:rsidP="005B7DB8">
      <w:pPr>
        <w:pStyle w:val="ListParagraph"/>
        <w:numPr>
          <w:ilvl w:val="1"/>
          <w:numId w:val="1"/>
        </w:numPr>
        <w:tabs>
          <w:tab w:val="left" w:pos="1255"/>
        </w:tabs>
        <w:spacing w:before="1"/>
        <w:ind w:right="120" w:hanging="687"/>
        <w:jc w:val="both"/>
        <w:rPr>
          <w:sz w:val="24"/>
        </w:rPr>
      </w:pPr>
      <w:r>
        <w:rPr>
          <w:sz w:val="24"/>
        </w:rPr>
        <w:t xml:space="preserve">This note applies broadly to all forms of external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including:</w:t>
      </w:r>
    </w:p>
    <w:p w14:paraId="765B400B" w14:textId="77777777" w:rsidR="00163D31" w:rsidRDefault="00163D31">
      <w:pPr>
        <w:pStyle w:val="BodyText"/>
        <w:spacing w:before="9"/>
        <w:rPr>
          <w:sz w:val="20"/>
        </w:rPr>
      </w:pPr>
    </w:p>
    <w:p w14:paraId="25B4D3D8" w14:textId="77777777" w:rsidR="00163D31" w:rsidRDefault="0083063D">
      <w:pPr>
        <w:pStyle w:val="ListParagraph"/>
        <w:numPr>
          <w:ilvl w:val="2"/>
          <w:numId w:val="1"/>
        </w:numPr>
        <w:tabs>
          <w:tab w:val="left" w:pos="1539"/>
        </w:tabs>
        <w:ind w:hanging="284"/>
        <w:jc w:val="left"/>
        <w:rPr>
          <w:sz w:val="24"/>
        </w:rPr>
      </w:pPr>
      <w:r>
        <w:rPr>
          <w:sz w:val="24"/>
        </w:rPr>
        <w:t>QAA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scrutiny;</w:t>
      </w:r>
      <w:proofErr w:type="gramEnd"/>
    </w:p>
    <w:p w14:paraId="252FC409" w14:textId="77777777" w:rsidR="00163D31" w:rsidRDefault="0083063D">
      <w:pPr>
        <w:pStyle w:val="ListParagraph"/>
        <w:numPr>
          <w:ilvl w:val="2"/>
          <w:numId w:val="1"/>
        </w:numPr>
        <w:tabs>
          <w:tab w:val="left" w:pos="1539"/>
        </w:tabs>
        <w:spacing w:before="237"/>
        <w:ind w:hanging="284"/>
        <w:jc w:val="left"/>
        <w:rPr>
          <w:sz w:val="24"/>
        </w:rPr>
      </w:pPr>
      <w:proofErr w:type="spellStart"/>
      <w:r>
        <w:rPr>
          <w:sz w:val="24"/>
        </w:rPr>
        <w:t>Estyn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Inspection;</w:t>
      </w:r>
      <w:proofErr w:type="gramEnd"/>
    </w:p>
    <w:p w14:paraId="34805A72" w14:textId="4B966714" w:rsidR="00163D31" w:rsidRDefault="0083063D" w:rsidP="2FACC6D8">
      <w:pPr>
        <w:pStyle w:val="ListParagraph"/>
        <w:numPr>
          <w:ilvl w:val="2"/>
          <w:numId w:val="1"/>
        </w:numPr>
        <w:tabs>
          <w:tab w:val="left" w:pos="1539"/>
        </w:tabs>
        <w:spacing w:before="238"/>
        <w:ind w:hanging="284"/>
        <w:jc w:val="left"/>
        <w:rPr>
          <w:sz w:val="24"/>
          <w:szCs w:val="24"/>
        </w:rPr>
      </w:pPr>
      <w:r w:rsidRPr="2FACC6D8">
        <w:rPr>
          <w:sz w:val="24"/>
          <w:szCs w:val="24"/>
        </w:rPr>
        <w:t>Assessment/Accreditation/Inspection by professional</w:t>
      </w:r>
      <w:r w:rsidR="71D3404F" w:rsidRPr="2FACC6D8">
        <w:rPr>
          <w:sz w:val="24"/>
          <w:szCs w:val="24"/>
        </w:rPr>
        <w:t xml:space="preserve"> and regulatory</w:t>
      </w:r>
      <w:r w:rsidRPr="2FACC6D8">
        <w:rPr>
          <w:spacing w:val="-8"/>
          <w:sz w:val="24"/>
          <w:szCs w:val="24"/>
        </w:rPr>
        <w:t xml:space="preserve"> </w:t>
      </w:r>
      <w:r w:rsidRPr="2FACC6D8">
        <w:rPr>
          <w:sz w:val="24"/>
          <w:szCs w:val="24"/>
        </w:rPr>
        <w:t>bodies.</w:t>
      </w:r>
    </w:p>
    <w:p w14:paraId="3B1AA4B3" w14:textId="77777777" w:rsidR="00163D31" w:rsidRDefault="0083063D" w:rsidP="005B7DB8">
      <w:pPr>
        <w:pStyle w:val="Heading2"/>
        <w:numPr>
          <w:ilvl w:val="0"/>
          <w:numId w:val="1"/>
        </w:numPr>
        <w:spacing w:before="237"/>
        <w:ind w:left="567" w:hanging="447"/>
      </w:pPr>
      <w:proofErr w:type="spellStart"/>
      <w:r>
        <w:t>Organisation</w:t>
      </w:r>
      <w:proofErr w:type="spellEnd"/>
      <w:r>
        <w:t xml:space="preserve"> of</w:t>
      </w:r>
      <w:r>
        <w:rPr>
          <w:spacing w:val="-3"/>
        </w:rPr>
        <w:t xml:space="preserve"> </w:t>
      </w:r>
      <w:r>
        <w:t>Events</w:t>
      </w:r>
    </w:p>
    <w:p w14:paraId="082D4657" w14:textId="77777777" w:rsidR="00163D31" w:rsidRDefault="00163D31">
      <w:pPr>
        <w:pStyle w:val="BodyText"/>
        <w:spacing w:before="9"/>
        <w:rPr>
          <w:b/>
          <w:sz w:val="20"/>
        </w:rPr>
      </w:pPr>
    </w:p>
    <w:p w14:paraId="4BF02CE1" w14:textId="77777777" w:rsidR="00163D31" w:rsidRDefault="0083063D" w:rsidP="006F6694">
      <w:pPr>
        <w:pStyle w:val="ListParagraph"/>
        <w:numPr>
          <w:ilvl w:val="1"/>
          <w:numId w:val="1"/>
        </w:numPr>
        <w:tabs>
          <w:tab w:val="left" w:pos="1255"/>
        </w:tabs>
        <w:ind w:right="117" w:hanging="687"/>
        <w:jc w:val="both"/>
        <w:rPr>
          <w:sz w:val="24"/>
        </w:rPr>
      </w:pPr>
      <w:r>
        <w:rPr>
          <w:sz w:val="24"/>
        </w:rPr>
        <w:t>Wherever possible, external assessments should be combined with internal events, such as validation and review, provided that the arrangements and details comply broadly with the University’s requirements for such</w:t>
      </w:r>
      <w:r>
        <w:rPr>
          <w:spacing w:val="-4"/>
          <w:sz w:val="24"/>
        </w:rPr>
        <w:t xml:space="preserve"> </w:t>
      </w:r>
      <w:r>
        <w:rPr>
          <w:sz w:val="24"/>
        </w:rPr>
        <w:t>events.</w:t>
      </w:r>
    </w:p>
    <w:p w14:paraId="57F69332" w14:textId="77777777" w:rsidR="00163D31" w:rsidRDefault="00163D31" w:rsidP="006F6694">
      <w:pPr>
        <w:pStyle w:val="BodyText"/>
        <w:spacing w:before="9"/>
        <w:ind w:hanging="687"/>
        <w:jc w:val="both"/>
        <w:rPr>
          <w:sz w:val="20"/>
        </w:rPr>
      </w:pPr>
    </w:p>
    <w:p w14:paraId="2979CEBD" w14:textId="00C709FC" w:rsidR="00163D31" w:rsidRDefault="0083063D" w:rsidP="006F6694">
      <w:pPr>
        <w:pStyle w:val="BodyText"/>
        <w:ind w:left="1254" w:firstLine="22"/>
        <w:jc w:val="both"/>
      </w:pPr>
      <w:r>
        <w:t xml:space="preserve">It </w:t>
      </w:r>
      <w:proofErr w:type="gramStart"/>
      <w:r>
        <w:t xml:space="preserve">is </w:t>
      </w:r>
      <w:r w:rsidR="22862F94">
        <w:t xml:space="preserve"> acknowledged</w:t>
      </w:r>
      <w:proofErr w:type="gramEnd"/>
      <w:r>
        <w:t>, however, that some external bodies will not always agree to a combined/integrated event.</w:t>
      </w:r>
    </w:p>
    <w:p w14:paraId="40FCFFE1" w14:textId="77777777" w:rsidR="00163D31" w:rsidRDefault="00163D31" w:rsidP="005B7DB8">
      <w:pPr>
        <w:pStyle w:val="BodyText"/>
        <w:spacing w:before="9"/>
        <w:ind w:hanging="687"/>
        <w:rPr>
          <w:sz w:val="20"/>
        </w:rPr>
      </w:pPr>
    </w:p>
    <w:p w14:paraId="44F11EB3" w14:textId="7894560E" w:rsidR="00163D31" w:rsidRDefault="0083063D" w:rsidP="005B7DB8">
      <w:pPr>
        <w:pStyle w:val="ListParagraph"/>
        <w:numPr>
          <w:ilvl w:val="1"/>
          <w:numId w:val="1"/>
        </w:numPr>
        <w:tabs>
          <w:tab w:val="left" w:pos="1201"/>
        </w:tabs>
        <w:spacing w:before="1"/>
        <w:ind w:left="1200" w:right="117" w:hanging="687"/>
        <w:jc w:val="both"/>
        <w:rPr>
          <w:sz w:val="24"/>
        </w:rPr>
      </w:pPr>
      <w:r>
        <w:rPr>
          <w:sz w:val="24"/>
        </w:rPr>
        <w:t xml:space="preserve">Formal communication channels for overview purposes </w:t>
      </w:r>
      <w:r w:rsidR="00FA3500">
        <w:rPr>
          <w:sz w:val="24"/>
        </w:rPr>
        <w:t>between the</w:t>
      </w:r>
      <w:r>
        <w:rPr>
          <w:sz w:val="24"/>
        </w:rPr>
        <w:t xml:space="preserve"> external body and Cardiff Metropolitan University </w:t>
      </w:r>
      <w:proofErr w:type="gramStart"/>
      <w:r>
        <w:rPr>
          <w:sz w:val="24"/>
        </w:rPr>
        <w:t>shall</w:t>
      </w:r>
      <w:proofErr w:type="gramEnd"/>
      <w:r>
        <w:rPr>
          <w:sz w:val="24"/>
        </w:rPr>
        <w:t xml:space="preserve"> be </w:t>
      </w:r>
      <w:r w:rsidR="00FA3500">
        <w:rPr>
          <w:sz w:val="24"/>
        </w:rPr>
        <w:t>via the</w:t>
      </w:r>
      <w:r>
        <w:rPr>
          <w:sz w:val="24"/>
        </w:rPr>
        <w:t xml:space="preserve"> </w:t>
      </w:r>
      <w:r w:rsidR="00B451DB">
        <w:rPr>
          <w:sz w:val="24"/>
        </w:rPr>
        <w:t>relevant schools and Quality Enhancement Directorate</w:t>
      </w:r>
      <w:r>
        <w:rPr>
          <w:sz w:val="24"/>
        </w:rPr>
        <w:t xml:space="preserve"> acting on behalf of the Academic Quality and Standards</w:t>
      </w:r>
      <w:r>
        <w:rPr>
          <w:spacing w:val="-3"/>
          <w:sz w:val="24"/>
        </w:rPr>
        <w:t xml:space="preserve"> </w:t>
      </w:r>
      <w:r w:rsidR="00B451DB">
        <w:rPr>
          <w:sz w:val="24"/>
        </w:rPr>
        <w:t>Committee</w:t>
      </w:r>
      <w:r>
        <w:rPr>
          <w:sz w:val="24"/>
        </w:rPr>
        <w:t>.</w:t>
      </w:r>
    </w:p>
    <w:p w14:paraId="71338933" w14:textId="77777777" w:rsidR="00163D31" w:rsidRDefault="00163D31" w:rsidP="005B7DB8">
      <w:pPr>
        <w:pStyle w:val="BodyText"/>
        <w:spacing w:before="10"/>
        <w:ind w:hanging="687"/>
        <w:rPr>
          <w:sz w:val="20"/>
        </w:rPr>
      </w:pPr>
    </w:p>
    <w:p w14:paraId="61235100" w14:textId="0FBE1B3D" w:rsidR="00163D31" w:rsidRDefault="0083063D" w:rsidP="005B7DB8">
      <w:pPr>
        <w:pStyle w:val="ListParagraph"/>
        <w:numPr>
          <w:ilvl w:val="1"/>
          <w:numId w:val="1"/>
        </w:numPr>
        <w:tabs>
          <w:tab w:val="left" w:pos="1201"/>
        </w:tabs>
        <w:ind w:right="116" w:hanging="687"/>
        <w:jc w:val="both"/>
        <w:rPr>
          <w:sz w:val="24"/>
        </w:rPr>
      </w:pPr>
      <w:r>
        <w:rPr>
          <w:sz w:val="24"/>
        </w:rPr>
        <w:t xml:space="preserve">All assessment events involving external bodies must be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</w:t>
      </w:r>
      <w:r w:rsidR="00E963ED">
        <w:rPr>
          <w:sz w:val="24"/>
        </w:rPr>
        <w:t>in consultations with</w:t>
      </w:r>
      <w:r>
        <w:rPr>
          <w:sz w:val="24"/>
        </w:rPr>
        <w:t xml:space="preserve"> the </w:t>
      </w:r>
      <w:r w:rsidR="00B451DB">
        <w:rPr>
          <w:sz w:val="24"/>
        </w:rPr>
        <w:t>Quality Enhancement Directorate</w:t>
      </w:r>
      <w:r>
        <w:rPr>
          <w:sz w:val="24"/>
        </w:rPr>
        <w:t>.</w:t>
      </w:r>
    </w:p>
    <w:p w14:paraId="22E7675C" w14:textId="77777777" w:rsidR="00163D31" w:rsidRDefault="00163D31" w:rsidP="005B7DB8">
      <w:pPr>
        <w:pStyle w:val="BodyText"/>
        <w:spacing w:before="9"/>
        <w:ind w:hanging="687"/>
        <w:rPr>
          <w:sz w:val="20"/>
        </w:rPr>
      </w:pPr>
    </w:p>
    <w:p w14:paraId="2274FFA7" w14:textId="6DB657CF" w:rsidR="00163D31" w:rsidRDefault="0083063D" w:rsidP="005B7DB8">
      <w:pPr>
        <w:pStyle w:val="ListParagraph"/>
        <w:numPr>
          <w:ilvl w:val="1"/>
          <w:numId w:val="1"/>
        </w:numPr>
        <w:tabs>
          <w:tab w:val="left" w:pos="1201"/>
        </w:tabs>
        <w:spacing w:before="1"/>
        <w:ind w:left="1200" w:right="116" w:hanging="687"/>
        <w:jc w:val="both"/>
        <w:rPr>
          <w:sz w:val="24"/>
        </w:rPr>
      </w:pPr>
      <w:r>
        <w:rPr>
          <w:sz w:val="24"/>
        </w:rPr>
        <w:t xml:space="preserve">Any application, </w:t>
      </w:r>
      <w:r w:rsidR="00FA3500">
        <w:rPr>
          <w:sz w:val="24"/>
        </w:rPr>
        <w:t>self-assessment</w:t>
      </w:r>
      <w:r>
        <w:rPr>
          <w:sz w:val="24"/>
        </w:rPr>
        <w:t xml:space="preserve"> report or other pre-event documentation to be dispatched to the external body shall be </w:t>
      </w:r>
      <w:proofErr w:type="spellStart"/>
      <w:r>
        <w:rPr>
          <w:sz w:val="24"/>
        </w:rPr>
        <w:t>scrutinised</w:t>
      </w:r>
      <w:proofErr w:type="spellEnd"/>
      <w:r>
        <w:rPr>
          <w:sz w:val="24"/>
        </w:rPr>
        <w:t xml:space="preserve"> within School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procedures.</w:t>
      </w:r>
    </w:p>
    <w:p w14:paraId="7D806B3A" w14:textId="77777777" w:rsidR="00163D31" w:rsidRDefault="00163D31">
      <w:pPr>
        <w:pStyle w:val="BodyText"/>
      </w:pPr>
    </w:p>
    <w:p w14:paraId="429E8DCD" w14:textId="0B27BED7" w:rsidR="00163D31" w:rsidRDefault="0083063D" w:rsidP="005B7DB8">
      <w:pPr>
        <w:pStyle w:val="ListParagraph"/>
        <w:numPr>
          <w:ilvl w:val="1"/>
          <w:numId w:val="1"/>
        </w:numPr>
        <w:tabs>
          <w:tab w:val="left" w:pos="1201"/>
        </w:tabs>
        <w:ind w:left="1200" w:right="118" w:hanging="633"/>
        <w:jc w:val="both"/>
        <w:rPr>
          <w:sz w:val="24"/>
        </w:rPr>
      </w:pPr>
      <w:r>
        <w:rPr>
          <w:sz w:val="24"/>
        </w:rPr>
        <w:t xml:space="preserve">Documentation in connection with external assessment shall be submitted to the </w:t>
      </w:r>
      <w:r w:rsidR="00B451DB">
        <w:rPr>
          <w:sz w:val="24"/>
        </w:rPr>
        <w:t>Quality Enhancement Directorate</w:t>
      </w:r>
      <w:r>
        <w:rPr>
          <w:sz w:val="24"/>
        </w:rPr>
        <w:t xml:space="preserve"> at least 25 working days prior to either dispatch to the external body or the convening of an internal/combined</w:t>
      </w:r>
      <w:r>
        <w:rPr>
          <w:spacing w:val="-5"/>
          <w:sz w:val="24"/>
        </w:rPr>
        <w:t xml:space="preserve"> </w:t>
      </w:r>
      <w:r>
        <w:rPr>
          <w:sz w:val="24"/>
        </w:rPr>
        <w:t>event.</w:t>
      </w:r>
    </w:p>
    <w:p w14:paraId="57B2C385" w14:textId="77777777" w:rsidR="00163D31" w:rsidRDefault="00163D31">
      <w:pPr>
        <w:pStyle w:val="BodyText"/>
        <w:spacing w:before="1"/>
      </w:pPr>
    </w:p>
    <w:p w14:paraId="00039B30" w14:textId="77777777" w:rsidR="00163D31" w:rsidRDefault="0083063D">
      <w:pPr>
        <w:pStyle w:val="Heading2"/>
        <w:numPr>
          <w:ilvl w:val="0"/>
          <w:numId w:val="1"/>
        </w:numPr>
        <w:tabs>
          <w:tab w:val="left" w:pos="480"/>
          <w:tab w:val="left" w:pos="481"/>
        </w:tabs>
        <w:ind w:left="480" w:hanging="360"/>
      </w:pPr>
      <w:r>
        <w:t>Reporting</w:t>
      </w:r>
    </w:p>
    <w:p w14:paraId="25653A0F" w14:textId="77777777" w:rsidR="00163D31" w:rsidRDefault="00163D31">
      <w:pPr>
        <w:pStyle w:val="BodyText"/>
        <w:spacing w:before="8"/>
        <w:rPr>
          <w:b/>
          <w:sz w:val="20"/>
        </w:rPr>
      </w:pPr>
    </w:p>
    <w:p w14:paraId="37711F14" w14:textId="0F7B7CD7" w:rsidR="00163D31" w:rsidRDefault="0083063D" w:rsidP="005B7DB8">
      <w:pPr>
        <w:pStyle w:val="ListParagraph"/>
        <w:numPr>
          <w:ilvl w:val="1"/>
          <w:numId w:val="1"/>
        </w:numPr>
        <w:ind w:left="1134" w:right="118"/>
        <w:jc w:val="both"/>
        <w:rPr>
          <w:sz w:val="24"/>
        </w:rPr>
      </w:pPr>
      <w:r>
        <w:rPr>
          <w:sz w:val="24"/>
        </w:rPr>
        <w:t xml:space="preserve">Following the event, any report of the external body shall be presented to the Academic Quality and Standards </w:t>
      </w:r>
      <w:r w:rsidR="00B451DB">
        <w:rPr>
          <w:sz w:val="24"/>
        </w:rPr>
        <w:t xml:space="preserve">Committee </w:t>
      </w:r>
      <w:r>
        <w:rPr>
          <w:sz w:val="24"/>
        </w:rPr>
        <w:t>for consideration and</w:t>
      </w:r>
      <w:r>
        <w:rPr>
          <w:spacing w:val="-2"/>
          <w:sz w:val="24"/>
        </w:rPr>
        <w:t xml:space="preserve"> </w:t>
      </w:r>
      <w:r>
        <w:rPr>
          <w:sz w:val="24"/>
        </w:rPr>
        <w:t>comment.</w:t>
      </w:r>
    </w:p>
    <w:p w14:paraId="0F70FBB5" w14:textId="77777777" w:rsidR="006F6694" w:rsidRDefault="006F6694" w:rsidP="006F6694">
      <w:pPr>
        <w:pStyle w:val="ListParagraph"/>
        <w:ind w:left="1134" w:right="118" w:firstLine="0"/>
        <w:jc w:val="left"/>
        <w:rPr>
          <w:sz w:val="24"/>
        </w:rPr>
      </w:pPr>
    </w:p>
    <w:p w14:paraId="741817E5" w14:textId="2DC50647" w:rsidR="00163D31" w:rsidRDefault="0083063D" w:rsidP="005B7DB8">
      <w:pPr>
        <w:pStyle w:val="ListParagraph"/>
        <w:numPr>
          <w:ilvl w:val="1"/>
          <w:numId w:val="1"/>
        </w:numPr>
        <w:spacing w:before="79"/>
        <w:ind w:left="1134" w:right="119"/>
        <w:jc w:val="both"/>
        <w:rPr>
          <w:sz w:val="24"/>
        </w:rPr>
      </w:pPr>
      <w:r>
        <w:rPr>
          <w:sz w:val="24"/>
        </w:rPr>
        <w:t xml:space="preserve">Any conditions (or similar), which must be addressed in connection with the assessment, shall be progressed by the appropriate section -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team, School - and that progress reported as </w:t>
      </w:r>
      <w:proofErr w:type="gramStart"/>
      <w:r>
        <w:rPr>
          <w:sz w:val="24"/>
        </w:rPr>
        <w:t>required,</w:t>
      </w:r>
      <w:proofErr w:type="gramEnd"/>
      <w:r>
        <w:rPr>
          <w:sz w:val="24"/>
        </w:rPr>
        <w:t xml:space="preserve"> </w:t>
      </w:r>
      <w:r>
        <w:rPr>
          <w:sz w:val="24"/>
        </w:rPr>
        <w:lastRenderedPageBreak/>
        <w:t xml:space="preserve">by the School, to the </w:t>
      </w:r>
      <w:r w:rsidR="00B451DB">
        <w:rPr>
          <w:sz w:val="24"/>
        </w:rPr>
        <w:t>Quality Enhancement Directorate</w:t>
      </w:r>
      <w:r>
        <w:rPr>
          <w:sz w:val="24"/>
        </w:rPr>
        <w:t>.</w:t>
      </w:r>
    </w:p>
    <w:p w14:paraId="5B59B3E3" w14:textId="77777777" w:rsidR="00163D31" w:rsidRDefault="00163D31">
      <w:pPr>
        <w:pStyle w:val="BodyText"/>
        <w:spacing w:before="9"/>
        <w:rPr>
          <w:sz w:val="20"/>
        </w:rPr>
      </w:pPr>
    </w:p>
    <w:p w14:paraId="1B56E382" w14:textId="6ED6B68D" w:rsidR="00163D31" w:rsidRDefault="0083063D" w:rsidP="2FACC6D8">
      <w:pPr>
        <w:pStyle w:val="ListParagraph"/>
        <w:numPr>
          <w:ilvl w:val="1"/>
          <w:numId w:val="1"/>
        </w:numPr>
        <w:tabs>
          <w:tab w:val="left" w:pos="1273"/>
        </w:tabs>
        <w:ind w:left="1272" w:right="120" w:hanging="576"/>
        <w:jc w:val="both"/>
        <w:rPr>
          <w:sz w:val="24"/>
          <w:szCs w:val="24"/>
        </w:rPr>
      </w:pPr>
      <w:r w:rsidRPr="2FACC6D8">
        <w:rPr>
          <w:sz w:val="24"/>
          <w:szCs w:val="24"/>
        </w:rPr>
        <w:t xml:space="preserve">These and other issues (e.g. recommendations) arising from the external body report shall be discussed and actioned by the Programme Committee and progress </w:t>
      </w:r>
      <w:proofErr w:type="spellStart"/>
      <w:r w:rsidRPr="2FACC6D8">
        <w:rPr>
          <w:sz w:val="24"/>
          <w:szCs w:val="24"/>
        </w:rPr>
        <w:t>minuted</w:t>
      </w:r>
      <w:proofErr w:type="spellEnd"/>
      <w:r w:rsidRPr="2FACC6D8">
        <w:rPr>
          <w:sz w:val="24"/>
          <w:szCs w:val="24"/>
        </w:rPr>
        <w:t xml:space="preserve"> in the</w:t>
      </w:r>
      <w:r w:rsidRPr="2FACC6D8">
        <w:rPr>
          <w:spacing w:val="47"/>
          <w:sz w:val="24"/>
          <w:szCs w:val="24"/>
        </w:rPr>
        <w:t xml:space="preserve"> </w:t>
      </w:r>
      <w:r w:rsidRPr="2FACC6D8">
        <w:rPr>
          <w:sz w:val="24"/>
          <w:szCs w:val="24"/>
        </w:rPr>
        <w:t xml:space="preserve">committee reports. It is anticipated that discussion and progress will be traceable in the </w:t>
      </w:r>
      <w:r w:rsidR="652EAB04" w:rsidRPr="2FACC6D8">
        <w:rPr>
          <w:sz w:val="24"/>
          <w:szCs w:val="24"/>
        </w:rPr>
        <w:t>Programme Enhancement Plan</w:t>
      </w:r>
      <w:r w:rsidRPr="2FACC6D8">
        <w:rPr>
          <w:sz w:val="24"/>
          <w:szCs w:val="24"/>
        </w:rPr>
        <w:t>.</w:t>
      </w:r>
      <w:r w:rsidR="5EC2BFB9" w:rsidRPr="2FACC6D8">
        <w:rPr>
          <w:sz w:val="24"/>
          <w:szCs w:val="24"/>
        </w:rPr>
        <w:t xml:space="preserve"> School oversight is via the mandatory reporting of external review activities and assessment through the School Learning and Teaching Committee.</w:t>
      </w:r>
    </w:p>
    <w:sectPr w:rsidR="00163D31">
      <w:pgSz w:w="11910" w:h="16840"/>
      <w:pgMar w:top="1340" w:right="1680" w:bottom="1260" w:left="168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C35D" w14:textId="77777777" w:rsidR="005A63C9" w:rsidRDefault="005A63C9">
      <w:r>
        <w:separator/>
      </w:r>
    </w:p>
  </w:endnote>
  <w:endnote w:type="continuationSeparator" w:id="0">
    <w:p w14:paraId="2B5142D2" w14:textId="77777777" w:rsidR="005A63C9" w:rsidRDefault="005A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C7F7" w14:textId="318A16B3" w:rsidR="00163D31" w:rsidRDefault="009523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1681CA" wp14:editId="0E3F681F">
              <wp:simplePos x="0" y="0"/>
              <wp:positionH relativeFrom="page">
                <wp:posOffset>1316990</wp:posOffset>
              </wp:positionH>
              <wp:positionV relativeFrom="page">
                <wp:posOffset>9867900</wp:posOffset>
              </wp:positionV>
              <wp:extent cx="4926965" cy="471805"/>
              <wp:effectExtent l="254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6965" cy="47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AE8FE" w14:textId="4F5FAB28" w:rsidR="00163D31" w:rsidRDefault="0083063D">
                          <w:pPr>
                            <w:spacing w:before="14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Academic Handbook 20</w:t>
                          </w:r>
                          <w:r w:rsidR="002B4547">
                            <w:rPr>
                              <w:sz w:val="16"/>
                            </w:rPr>
                            <w:t>2</w:t>
                          </w:r>
                          <w:r w:rsidR="009E5E9D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t>/2</w:t>
                          </w:r>
                          <w:r w:rsidR="009E5E9D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 xml:space="preserve"> – Volume 2 – 11.1 - External Assessment of Programmes – modified 22.09.08, 26.10.11, 27.09.16</w:t>
                          </w:r>
                          <w:r w:rsidR="00A818D1">
                            <w:rPr>
                              <w:sz w:val="16"/>
                            </w:rPr>
                            <w:t xml:space="preserve">, </w:t>
                          </w:r>
                          <w:r w:rsidR="009E5E9D">
                            <w:rPr>
                              <w:sz w:val="16"/>
                            </w:rPr>
                            <w:t>29.09.19</w:t>
                          </w:r>
                          <w:r w:rsidR="00B451DB">
                            <w:rPr>
                              <w:sz w:val="16"/>
                            </w:rPr>
                            <w:t xml:space="preserve">; </w:t>
                          </w:r>
                          <w:r w:rsidR="0007622D">
                            <w:rPr>
                              <w:sz w:val="16"/>
                            </w:rPr>
                            <w:t xml:space="preserve">last modified </w:t>
                          </w:r>
                          <w:r w:rsidR="00A818D1">
                            <w:rPr>
                              <w:sz w:val="16"/>
                            </w:rPr>
                            <w:t>04.08.25</w:t>
                          </w:r>
                        </w:p>
                        <w:p w14:paraId="76392A3E" w14:textId="4BAAEA10" w:rsidR="00163D31" w:rsidRDefault="0083063D">
                          <w:pPr>
                            <w:spacing w:before="133"/>
                            <w:ind w:left="74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347E">
                            <w:rPr>
                              <w:noProof/>
                              <w:w w:val="99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68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3.7pt;margin-top:777pt;width:387.95pt;height:3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" filled="f" stroked="f">
              <v:textbox inset="0,0,0,0">
                <w:txbxContent>
                  <w:p w14:paraId="512AE8FE" w14:textId="4F5FAB28" w:rsidR="00163D31" w:rsidRDefault="0083063D">
                    <w:pPr>
                      <w:spacing w:before="14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Academic Handbook 20</w:t>
                    </w:r>
                    <w:r w:rsidR="002B4547">
                      <w:rPr>
                        <w:sz w:val="16"/>
                      </w:rPr>
                      <w:t>2</w:t>
                    </w:r>
                    <w:r w:rsidR="009E5E9D"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t>/2</w:t>
                    </w:r>
                    <w:r w:rsidR="009E5E9D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 xml:space="preserve"> – Volume 2 – 11.1 - External Assessment of Programmes – modified 22.09.08, 26.10.11, 27.09.16</w:t>
                    </w:r>
                    <w:r w:rsidR="00A818D1">
                      <w:rPr>
                        <w:sz w:val="16"/>
                      </w:rPr>
                      <w:t xml:space="preserve">, </w:t>
                    </w:r>
                    <w:r w:rsidR="009E5E9D">
                      <w:rPr>
                        <w:sz w:val="16"/>
                      </w:rPr>
                      <w:t>29.09.19</w:t>
                    </w:r>
                    <w:r w:rsidR="00B451DB">
                      <w:rPr>
                        <w:sz w:val="16"/>
                      </w:rPr>
                      <w:t xml:space="preserve">; </w:t>
                    </w:r>
                    <w:r w:rsidR="0007622D">
                      <w:rPr>
                        <w:sz w:val="16"/>
                      </w:rPr>
                      <w:t xml:space="preserve">last modified </w:t>
                    </w:r>
                    <w:r w:rsidR="00A818D1">
                      <w:rPr>
                        <w:sz w:val="16"/>
                      </w:rPr>
                      <w:t>04.08.25</w:t>
                    </w:r>
                  </w:p>
                  <w:p w14:paraId="76392A3E" w14:textId="4BAAEA10" w:rsidR="00163D31" w:rsidRDefault="0083063D">
                    <w:pPr>
                      <w:spacing w:before="133"/>
                      <w:ind w:left="74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347E">
                      <w:rPr>
                        <w:noProof/>
                        <w:w w:val="99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AA25" w14:textId="77777777" w:rsidR="005A63C9" w:rsidRDefault="005A63C9">
      <w:r>
        <w:separator/>
      </w:r>
    </w:p>
  </w:footnote>
  <w:footnote w:type="continuationSeparator" w:id="0">
    <w:p w14:paraId="42FC4775" w14:textId="77777777" w:rsidR="005A63C9" w:rsidRDefault="005A6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E03"/>
    <w:multiLevelType w:val="multilevel"/>
    <w:tmpl w:val="634CB732"/>
    <w:lvl w:ilvl="0">
      <w:start w:val="1"/>
      <w:numFmt w:val="decimal"/>
      <w:lvlText w:val="%1"/>
      <w:lvlJc w:val="left"/>
      <w:pPr>
        <w:ind w:left="688" w:hanging="568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54" w:hanging="567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2">
      <w:numFmt w:val="bullet"/>
      <w:lvlText w:val=""/>
      <w:lvlJc w:val="left"/>
      <w:pPr>
        <w:ind w:left="1538" w:hanging="285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540" w:hanging="285"/>
      </w:pPr>
      <w:rPr>
        <w:rFonts w:hint="default"/>
      </w:rPr>
    </w:lvl>
    <w:lvl w:ilvl="4">
      <w:numFmt w:val="bullet"/>
      <w:lvlText w:val="•"/>
      <w:lvlJc w:val="left"/>
      <w:pPr>
        <w:ind w:left="2540" w:hanging="285"/>
      </w:pPr>
      <w:rPr>
        <w:rFonts w:hint="default"/>
      </w:rPr>
    </w:lvl>
    <w:lvl w:ilvl="5">
      <w:numFmt w:val="bullet"/>
      <w:lvlText w:val="•"/>
      <w:lvlJc w:val="left"/>
      <w:pPr>
        <w:ind w:left="3541" w:hanging="285"/>
      </w:pPr>
      <w:rPr>
        <w:rFonts w:hint="default"/>
      </w:rPr>
    </w:lvl>
    <w:lvl w:ilvl="6">
      <w:numFmt w:val="bullet"/>
      <w:lvlText w:val="•"/>
      <w:lvlJc w:val="left"/>
      <w:pPr>
        <w:ind w:left="4542" w:hanging="285"/>
      </w:pPr>
      <w:rPr>
        <w:rFonts w:hint="default"/>
      </w:rPr>
    </w:lvl>
    <w:lvl w:ilvl="7">
      <w:numFmt w:val="bullet"/>
      <w:lvlText w:val="•"/>
      <w:lvlJc w:val="left"/>
      <w:pPr>
        <w:ind w:left="5543" w:hanging="285"/>
      </w:pPr>
      <w:rPr>
        <w:rFonts w:hint="default"/>
      </w:rPr>
    </w:lvl>
    <w:lvl w:ilvl="8">
      <w:numFmt w:val="bullet"/>
      <w:lvlText w:val="•"/>
      <w:lvlJc w:val="left"/>
      <w:pPr>
        <w:ind w:left="6544" w:hanging="285"/>
      </w:pPr>
      <w:rPr>
        <w:rFonts w:hint="default"/>
      </w:rPr>
    </w:lvl>
  </w:abstractNum>
  <w:num w:numId="1" w16cid:durableId="23019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31"/>
    <w:rsid w:val="0003131D"/>
    <w:rsid w:val="0007622D"/>
    <w:rsid w:val="00163D31"/>
    <w:rsid w:val="002B4547"/>
    <w:rsid w:val="004A17C9"/>
    <w:rsid w:val="004C0BEF"/>
    <w:rsid w:val="005963F7"/>
    <w:rsid w:val="005A63C9"/>
    <w:rsid w:val="005B7DB8"/>
    <w:rsid w:val="00617FAB"/>
    <w:rsid w:val="0063622C"/>
    <w:rsid w:val="0064141B"/>
    <w:rsid w:val="006F6694"/>
    <w:rsid w:val="00783C99"/>
    <w:rsid w:val="0083063D"/>
    <w:rsid w:val="0086217C"/>
    <w:rsid w:val="008667DC"/>
    <w:rsid w:val="009016DB"/>
    <w:rsid w:val="00907E59"/>
    <w:rsid w:val="00952310"/>
    <w:rsid w:val="009E5E9D"/>
    <w:rsid w:val="00A818D1"/>
    <w:rsid w:val="00B451DB"/>
    <w:rsid w:val="00B677C4"/>
    <w:rsid w:val="00BB3F02"/>
    <w:rsid w:val="00C0235B"/>
    <w:rsid w:val="00E7347E"/>
    <w:rsid w:val="00E963ED"/>
    <w:rsid w:val="00F07E04"/>
    <w:rsid w:val="00F1680B"/>
    <w:rsid w:val="00FA3500"/>
    <w:rsid w:val="00FF33D1"/>
    <w:rsid w:val="00FF3CC0"/>
    <w:rsid w:val="13D9A4D9"/>
    <w:rsid w:val="22862F94"/>
    <w:rsid w:val="27D936ED"/>
    <w:rsid w:val="2FACC6D8"/>
    <w:rsid w:val="5EC2BFB9"/>
    <w:rsid w:val="62735EC7"/>
    <w:rsid w:val="63180225"/>
    <w:rsid w:val="652EAB04"/>
    <w:rsid w:val="6AB7561C"/>
    <w:rsid w:val="71D3404F"/>
    <w:rsid w:val="7EB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2F2D7"/>
  <w15:docId w15:val="{7466D5CE-4248-456C-AF10-626FE7BF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5"/>
      <w:ind w:left="857" w:right="857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688" w:hanging="56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5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5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D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1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2BEF59A2C124C90515FC7468BB176" ma:contentTypeVersion="4" ma:contentTypeDescription="Create a new document." ma:contentTypeScope="" ma:versionID="3bd511de372cac2b39ded4fde2045aca">
  <xsd:schema xmlns:xsd="http://www.w3.org/2001/XMLSchema" xmlns:xs="http://www.w3.org/2001/XMLSchema" xmlns:p="http://schemas.microsoft.com/office/2006/metadata/properties" xmlns:ns2="986566b0-ee2f-4009-a373-0495ba43568c" targetNamespace="http://schemas.microsoft.com/office/2006/metadata/properties" ma:root="true" ma:fieldsID="cfe11fc513c030c661168a12fd211df9" ns2:_="">
    <xsd:import namespace="986566b0-ee2f-4009-a373-0495ba435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566b0-ee2f-4009-a373-0495ba435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986566b0-ee2f-4009-a373-0495ba43568c">Some suggested amendments using track changes</NOTES>
  </documentManagement>
</p:properties>
</file>

<file path=customXml/itemProps1.xml><?xml version="1.0" encoding="utf-8"?>
<ds:datastoreItem xmlns:ds="http://schemas.openxmlformats.org/officeDocument/2006/customXml" ds:itemID="{DA82C07D-1C3C-41E6-A375-C6AA7AB8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20878-1BAD-4F4B-96F9-490007D09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566b0-ee2f-4009-a373-0495ba43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1FA0B-68C3-46F6-A222-3C59059F1BA5}">
  <ds:schemaRefs>
    <ds:schemaRef ds:uri="http://schemas.microsoft.com/office/2006/metadata/properties"/>
    <ds:schemaRef ds:uri="http://schemas.microsoft.com/office/infopath/2007/PartnerControls"/>
    <ds:schemaRef ds:uri="986566b0-ee2f-4009-a373-0495ba4356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327</Words>
  <Characters>1996</Characters>
  <Application>Microsoft Office Word</Application>
  <DocSecurity>0</DocSecurity>
  <Lines>85</Lines>
  <Paragraphs>19</Paragraphs>
  <ScaleCrop>false</ScaleCrop>
  <Company>Cardiff Met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08-02_EXTERNAL_ASSESSMENT_OF_PROGRAMMES.doc</dc:title>
  <dc:creator>ISD</dc:creator>
  <cp:lastModifiedBy>Wildsmith, Duncan</cp:lastModifiedBy>
  <cp:revision>8</cp:revision>
  <dcterms:created xsi:type="dcterms:W3CDTF">2026-01-28T12:58:00Z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0x010100F222BEF59A2C124C90515FC7468BB176</vt:lpwstr>
  </property>
</Properties>
</file>