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B4F0" w14:textId="77777777" w:rsidR="00CB34A8" w:rsidRDefault="00CB34A8">
      <w:pPr>
        <w:pStyle w:val="BodyText"/>
        <w:rPr>
          <w:rFonts w:ascii="Times New Roman"/>
          <w:sz w:val="20"/>
        </w:rPr>
      </w:pPr>
    </w:p>
    <w:p w14:paraId="2EC608BF" w14:textId="77777777" w:rsidR="00CB34A8" w:rsidRDefault="00CB34A8">
      <w:pPr>
        <w:pStyle w:val="BodyText"/>
        <w:rPr>
          <w:rFonts w:ascii="Times New Roman"/>
          <w:sz w:val="20"/>
        </w:rPr>
      </w:pPr>
    </w:p>
    <w:p w14:paraId="7E4A4BA5" w14:textId="77777777" w:rsidR="00CB34A8" w:rsidRDefault="00CB34A8">
      <w:pPr>
        <w:pStyle w:val="BodyText"/>
        <w:rPr>
          <w:rFonts w:ascii="Times New Roman"/>
          <w:sz w:val="20"/>
        </w:rPr>
      </w:pPr>
    </w:p>
    <w:p w14:paraId="0344E4FE" w14:textId="77777777" w:rsidR="00CB34A8" w:rsidRDefault="00CB34A8">
      <w:pPr>
        <w:pStyle w:val="BodyText"/>
        <w:rPr>
          <w:rFonts w:ascii="Times New Roman"/>
          <w:sz w:val="20"/>
        </w:rPr>
      </w:pPr>
    </w:p>
    <w:p w14:paraId="0511950E" w14:textId="77777777" w:rsidR="00CB34A8" w:rsidRDefault="00CB34A8">
      <w:pPr>
        <w:pStyle w:val="BodyText"/>
        <w:rPr>
          <w:rFonts w:ascii="Times New Roman"/>
          <w:sz w:val="20"/>
        </w:rPr>
      </w:pPr>
    </w:p>
    <w:p w14:paraId="0E8FF715" w14:textId="77777777" w:rsidR="00CB34A8" w:rsidRDefault="00CB34A8">
      <w:pPr>
        <w:pStyle w:val="BodyText"/>
        <w:rPr>
          <w:rFonts w:ascii="Times New Roman"/>
          <w:sz w:val="20"/>
        </w:rPr>
      </w:pPr>
    </w:p>
    <w:p w14:paraId="4406A58E" w14:textId="77777777" w:rsidR="00CB34A8" w:rsidRDefault="00CB34A8">
      <w:pPr>
        <w:pStyle w:val="BodyText"/>
        <w:rPr>
          <w:rFonts w:ascii="Times New Roman"/>
          <w:sz w:val="20"/>
        </w:rPr>
      </w:pPr>
    </w:p>
    <w:p w14:paraId="4E0A075F" w14:textId="77777777" w:rsidR="00CB34A8" w:rsidRDefault="00CB34A8">
      <w:pPr>
        <w:pStyle w:val="BodyText"/>
        <w:rPr>
          <w:rFonts w:ascii="Times New Roman"/>
          <w:sz w:val="20"/>
        </w:rPr>
      </w:pPr>
    </w:p>
    <w:p w14:paraId="71C9B44E" w14:textId="77777777" w:rsidR="00CB34A8" w:rsidRDefault="00CB34A8">
      <w:pPr>
        <w:pStyle w:val="BodyText"/>
        <w:rPr>
          <w:rFonts w:ascii="Times New Roman"/>
          <w:sz w:val="20"/>
        </w:rPr>
      </w:pPr>
    </w:p>
    <w:p w14:paraId="62170AA5" w14:textId="77777777" w:rsidR="00CB34A8" w:rsidRDefault="00CB34A8">
      <w:pPr>
        <w:pStyle w:val="BodyText"/>
        <w:rPr>
          <w:rFonts w:ascii="Times New Roman"/>
          <w:sz w:val="20"/>
        </w:rPr>
      </w:pPr>
    </w:p>
    <w:p w14:paraId="290054F4" w14:textId="77777777" w:rsidR="00CB34A8" w:rsidRDefault="00CB34A8">
      <w:pPr>
        <w:pStyle w:val="BodyText"/>
        <w:rPr>
          <w:rFonts w:ascii="Times New Roman"/>
          <w:sz w:val="20"/>
        </w:rPr>
      </w:pPr>
    </w:p>
    <w:p w14:paraId="0CC7D588" w14:textId="77777777" w:rsidR="00CB34A8" w:rsidRDefault="00CB34A8">
      <w:pPr>
        <w:pStyle w:val="BodyText"/>
        <w:rPr>
          <w:rFonts w:ascii="Times New Roman"/>
          <w:sz w:val="20"/>
        </w:rPr>
      </w:pPr>
    </w:p>
    <w:p w14:paraId="6957816B" w14:textId="77777777" w:rsidR="00CB34A8" w:rsidRDefault="00CB34A8">
      <w:pPr>
        <w:pStyle w:val="BodyText"/>
        <w:rPr>
          <w:rFonts w:ascii="Times New Roman"/>
          <w:sz w:val="20"/>
        </w:rPr>
      </w:pPr>
    </w:p>
    <w:p w14:paraId="5D0CDCDB" w14:textId="77777777" w:rsidR="00CB34A8" w:rsidRDefault="00CB34A8">
      <w:pPr>
        <w:pStyle w:val="BodyText"/>
        <w:rPr>
          <w:rFonts w:ascii="Times New Roman"/>
          <w:sz w:val="20"/>
        </w:rPr>
      </w:pPr>
    </w:p>
    <w:p w14:paraId="5181A87B" w14:textId="77777777" w:rsidR="00CB34A8" w:rsidRDefault="00CB34A8">
      <w:pPr>
        <w:pStyle w:val="BodyText"/>
        <w:rPr>
          <w:rFonts w:ascii="Times New Roman"/>
          <w:sz w:val="20"/>
        </w:rPr>
      </w:pPr>
    </w:p>
    <w:p w14:paraId="7629583D" w14:textId="77777777" w:rsidR="00CB34A8" w:rsidRDefault="00CB34A8">
      <w:pPr>
        <w:pStyle w:val="BodyText"/>
        <w:rPr>
          <w:rFonts w:ascii="Times New Roman"/>
          <w:sz w:val="20"/>
        </w:rPr>
      </w:pPr>
    </w:p>
    <w:p w14:paraId="2B2B0908" w14:textId="77777777" w:rsidR="00CB34A8" w:rsidRDefault="00CB34A8">
      <w:pPr>
        <w:pStyle w:val="BodyText"/>
        <w:rPr>
          <w:rFonts w:ascii="Times New Roman"/>
          <w:sz w:val="20"/>
        </w:rPr>
      </w:pPr>
    </w:p>
    <w:p w14:paraId="2D064EE6" w14:textId="77777777" w:rsidR="00CB34A8" w:rsidRDefault="00CB34A8">
      <w:pPr>
        <w:pStyle w:val="BodyText"/>
        <w:rPr>
          <w:rFonts w:ascii="Times New Roman"/>
          <w:sz w:val="20"/>
        </w:rPr>
      </w:pPr>
    </w:p>
    <w:p w14:paraId="660DA2F9" w14:textId="77777777" w:rsidR="00CB34A8" w:rsidRDefault="00CB34A8">
      <w:pPr>
        <w:pStyle w:val="BodyText"/>
        <w:rPr>
          <w:rFonts w:ascii="Times New Roman"/>
          <w:sz w:val="20"/>
        </w:rPr>
      </w:pPr>
    </w:p>
    <w:p w14:paraId="343206FF" w14:textId="77777777" w:rsidR="00CB34A8" w:rsidRDefault="00CB34A8">
      <w:pPr>
        <w:pStyle w:val="BodyText"/>
        <w:rPr>
          <w:rFonts w:ascii="Times New Roman"/>
          <w:sz w:val="20"/>
        </w:rPr>
      </w:pPr>
    </w:p>
    <w:p w14:paraId="7E43249F" w14:textId="77777777" w:rsidR="00CB34A8" w:rsidRDefault="00CB34A8">
      <w:pPr>
        <w:pStyle w:val="BodyText"/>
        <w:rPr>
          <w:rFonts w:ascii="Times New Roman"/>
          <w:sz w:val="20"/>
        </w:rPr>
      </w:pPr>
    </w:p>
    <w:p w14:paraId="70E0EC9B" w14:textId="77777777" w:rsidR="00CB34A8" w:rsidRDefault="00CB34A8">
      <w:pPr>
        <w:pStyle w:val="BodyText"/>
        <w:rPr>
          <w:rFonts w:ascii="Times New Roman"/>
          <w:sz w:val="20"/>
        </w:rPr>
      </w:pPr>
    </w:p>
    <w:p w14:paraId="7FE1F875" w14:textId="77777777" w:rsidR="00CB34A8" w:rsidRDefault="00CB34A8">
      <w:pPr>
        <w:pStyle w:val="BodyText"/>
        <w:spacing w:before="10"/>
        <w:rPr>
          <w:rFonts w:ascii="Times New Roman"/>
          <w:sz w:val="18"/>
        </w:rPr>
      </w:pPr>
    </w:p>
    <w:p w14:paraId="1B058DFA" w14:textId="2164E08E" w:rsidR="00CB34A8" w:rsidRDefault="009E1CE0">
      <w:pPr>
        <w:pStyle w:val="Heading1"/>
        <w:ind w:left="3788" w:right="3787"/>
      </w:pPr>
      <w:r>
        <w:t>12</w:t>
      </w:r>
      <w:r w:rsidR="00BB2CBA">
        <w:t>.6</w:t>
      </w:r>
    </w:p>
    <w:p w14:paraId="3F2471D5" w14:textId="77777777" w:rsidR="00CB34A8" w:rsidRDefault="00BB2CBA">
      <w:pPr>
        <w:spacing w:before="240"/>
        <w:ind w:left="366" w:right="363" w:firstLine="1"/>
        <w:jc w:val="center"/>
        <w:rPr>
          <w:b/>
          <w:sz w:val="48"/>
        </w:rPr>
      </w:pPr>
      <w:r>
        <w:rPr>
          <w:b/>
          <w:sz w:val="48"/>
        </w:rPr>
        <w:t>GUIDANCE ON EXTERNAL EXAMINING – SHARED MODULES</w:t>
      </w:r>
    </w:p>
    <w:p w14:paraId="08BDF07C" w14:textId="77777777" w:rsidR="00CB34A8" w:rsidRDefault="00CB34A8">
      <w:pPr>
        <w:jc w:val="center"/>
        <w:rPr>
          <w:sz w:val="48"/>
        </w:rPr>
        <w:sectPr w:rsidR="00CB34A8">
          <w:footerReference w:type="default" r:id="rId11"/>
          <w:type w:val="continuous"/>
          <w:pgSz w:w="11910" w:h="16840"/>
          <w:pgMar w:top="1580" w:right="1680" w:bottom="1260" w:left="1680" w:header="720" w:footer="1080" w:gutter="0"/>
          <w:pgNumType w:start="1"/>
          <w:cols w:space="720"/>
        </w:sectPr>
      </w:pPr>
    </w:p>
    <w:p w14:paraId="79BF8987" w14:textId="77777777" w:rsidR="00CB34A8" w:rsidRDefault="00BB2CBA">
      <w:pPr>
        <w:pStyle w:val="Heading2"/>
        <w:spacing w:before="81"/>
        <w:ind w:left="118" w:firstLine="0"/>
      </w:pPr>
      <w:r>
        <w:lastRenderedPageBreak/>
        <w:t>CARDIFF METROPOLITAN UNIVERSITY</w:t>
      </w:r>
    </w:p>
    <w:p w14:paraId="440C00FF" w14:textId="77777777" w:rsidR="00CB34A8" w:rsidRDefault="00CB34A8">
      <w:pPr>
        <w:pStyle w:val="BodyText"/>
        <w:rPr>
          <w:b/>
        </w:rPr>
      </w:pPr>
    </w:p>
    <w:p w14:paraId="1B8F0158" w14:textId="77777777" w:rsidR="00CB34A8" w:rsidRDefault="00BB2CBA">
      <w:pPr>
        <w:ind w:left="118"/>
        <w:rPr>
          <w:b/>
          <w:sz w:val="24"/>
        </w:rPr>
      </w:pPr>
      <w:r>
        <w:rPr>
          <w:b/>
          <w:sz w:val="24"/>
        </w:rPr>
        <w:t>EXTERNAL EXAMINING – SHARED MODULES (GUIDANCE NOTE)</w:t>
      </w:r>
    </w:p>
    <w:p w14:paraId="5833441D" w14:textId="77777777" w:rsidR="00CB34A8" w:rsidRDefault="00CB34A8">
      <w:pPr>
        <w:pStyle w:val="BodyText"/>
        <w:spacing w:before="10"/>
        <w:rPr>
          <w:b/>
          <w:sz w:val="23"/>
        </w:rPr>
      </w:pPr>
    </w:p>
    <w:p w14:paraId="41C900C0" w14:textId="77777777" w:rsidR="00CB34A8" w:rsidRDefault="00BB2CBA">
      <w:pPr>
        <w:pStyle w:val="ListParagraph"/>
        <w:numPr>
          <w:ilvl w:val="0"/>
          <w:numId w:val="1"/>
        </w:numPr>
        <w:tabs>
          <w:tab w:val="left" w:pos="657"/>
          <w:tab w:val="left" w:pos="658"/>
        </w:tabs>
        <w:rPr>
          <w:b/>
          <w:sz w:val="24"/>
        </w:rPr>
      </w:pPr>
      <w:r>
        <w:rPr>
          <w:b/>
          <w:sz w:val="24"/>
        </w:rPr>
        <w:t>Introduction</w:t>
      </w:r>
    </w:p>
    <w:p w14:paraId="572E9506" w14:textId="77777777" w:rsidR="00CB34A8" w:rsidRDefault="00CB34A8">
      <w:pPr>
        <w:pStyle w:val="BodyText"/>
        <w:spacing w:before="10"/>
        <w:rPr>
          <w:b/>
          <w:sz w:val="23"/>
        </w:rPr>
      </w:pPr>
    </w:p>
    <w:p w14:paraId="3117E7C3" w14:textId="77777777" w:rsidR="00CB34A8" w:rsidRDefault="00BB2CBA">
      <w:pPr>
        <w:pStyle w:val="ListParagraph"/>
        <w:numPr>
          <w:ilvl w:val="1"/>
          <w:numId w:val="1"/>
        </w:numPr>
        <w:tabs>
          <w:tab w:val="left" w:pos="1394"/>
        </w:tabs>
        <w:spacing w:before="1"/>
        <w:ind w:right="114"/>
        <w:jc w:val="both"/>
        <w:rPr>
          <w:sz w:val="24"/>
        </w:rPr>
      </w:pPr>
      <w:r>
        <w:rPr>
          <w:sz w:val="24"/>
        </w:rPr>
        <w:t>This Guidance Note provides advice to programme teams, Examination Board Chairs and External Examiners in relation to instances where students from different programmes undertake and are assessed together on a common module, there being a single External Examiner for that</w:t>
      </w:r>
      <w:r>
        <w:rPr>
          <w:spacing w:val="-6"/>
          <w:sz w:val="24"/>
        </w:rPr>
        <w:t xml:space="preserve"> </w:t>
      </w:r>
      <w:r>
        <w:rPr>
          <w:sz w:val="24"/>
        </w:rPr>
        <w:t>module.</w:t>
      </w:r>
    </w:p>
    <w:p w14:paraId="7D2302D8" w14:textId="77777777" w:rsidR="00CB34A8" w:rsidRDefault="00CB34A8">
      <w:pPr>
        <w:pStyle w:val="BodyText"/>
      </w:pPr>
    </w:p>
    <w:p w14:paraId="433124F6" w14:textId="77777777" w:rsidR="00CB34A8" w:rsidRDefault="00BB2CBA">
      <w:pPr>
        <w:pStyle w:val="ListParagraph"/>
        <w:numPr>
          <w:ilvl w:val="1"/>
          <w:numId w:val="1"/>
        </w:numPr>
        <w:tabs>
          <w:tab w:val="left" w:pos="1394"/>
        </w:tabs>
        <w:ind w:right="115"/>
        <w:jc w:val="both"/>
        <w:rPr>
          <w:sz w:val="24"/>
        </w:rPr>
      </w:pPr>
      <w:r>
        <w:rPr>
          <w:sz w:val="24"/>
        </w:rPr>
        <w:t>In such instances, the assessment outcomes for students will progress to more than one programme Examination</w:t>
      </w:r>
      <w:r>
        <w:rPr>
          <w:spacing w:val="-5"/>
          <w:sz w:val="24"/>
        </w:rPr>
        <w:t xml:space="preserve"> </w:t>
      </w:r>
      <w:r>
        <w:rPr>
          <w:sz w:val="24"/>
        </w:rPr>
        <w:t>Board.</w:t>
      </w:r>
    </w:p>
    <w:p w14:paraId="4F63BB05" w14:textId="77777777" w:rsidR="00CB34A8" w:rsidRDefault="00CB34A8">
      <w:pPr>
        <w:pStyle w:val="BodyText"/>
        <w:spacing w:before="11"/>
        <w:rPr>
          <w:sz w:val="23"/>
        </w:rPr>
      </w:pPr>
    </w:p>
    <w:p w14:paraId="400A9DDC" w14:textId="77777777" w:rsidR="00CB34A8" w:rsidRDefault="00BB2CBA">
      <w:pPr>
        <w:pStyle w:val="ListParagraph"/>
        <w:numPr>
          <w:ilvl w:val="1"/>
          <w:numId w:val="1"/>
        </w:numPr>
        <w:tabs>
          <w:tab w:val="left" w:pos="1394"/>
        </w:tabs>
        <w:ind w:right="117"/>
        <w:jc w:val="both"/>
        <w:rPr>
          <w:sz w:val="24"/>
        </w:rPr>
      </w:pPr>
      <w:r>
        <w:rPr>
          <w:sz w:val="24"/>
        </w:rPr>
        <w:t>The Guidance Note should be read in conjunction with “</w:t>
      </w:r>
      <w:r>
        <w:rPr>
          <w:i/>
          <w:sz w:val="24"/>
        </w:rPr>
        <w:t>Assessment Regulations</w:t>
      </w:r>
      <w:r>
        <w:rPr>
          <w:sz w:val="24"/>
        </w:rPr>
        <w:t>” and “</w:t>
      </w:r>
      <w:r>
        <w:rPr>
          <w:i/>
          <w:sz w:val="24"/>
        </w:rPr>
        <w:t>External</w:t>
      </w:r>
      <w:r>
        <w:rPr>
          <w:i/>
          <w:spacing w:val="-10"/>
          <w:sz w:val="24"/>
        </w:rPr>
        <w:t xml:space="preserve"> </w:t>
      </w:r>
      <w:r>
        <w:rPr>
          <w:i/>
          <w:sz w:val="24"/>
        </w:rPr>
        <w:t>Examiners</w:t>
      </w:r>
      <w:r>
        <w:rPr>
          <w:sz w:val="24"/>
        </w:rPr>
        <w:t>”.</w:t>
      </w:r>
    </w:p>
    <w:p w14:paraId="7256E21A" w14:textId="77777777" w:rsidR="00CB34A8" w:rsidRDefault="00CB34A8">
      <w:pPr>
        <w:pStyle w:val="BodyText"/>
        <w:spacing w:before="11"/>
        <w:rPr>
          <w:sz w:val="23"/>
        </w:rPr>
      </w:pPr>
    </w:p>
    <w:p w14:paraId="0A2CEFD7" w14:textId="77777777" w:rsidR="00CB34A8" w:rsidRDefault="00BB2CBA">
      <w:pPr>
        <w:pStyle w:val="Heading2"/>
        <w:numPr>
          <w:ilvl w:val="0"/>
          <w:numId w:val="1"/>
        </w:numPr>
        <w:tabs>
          <w:tab w:val="left" w:pos="657"/>
          <w:tab w:val="left" w:pos="658"/>
        </w:tabs>
      </w:pPr>
      <w:r>
        <w:t>Regulatory</w:t>
      </w:r>
      <w:r>
        <w:rPr>
          <w:spacing w:val="-5"/>
        </w:rPr>
        <w:t xml:space="preserve"> </w:t>
      </w:r>
      <w:r>
        <w:t>Issues</w:t>
      </w:r>
    </w:p>
    <w:p w14:paraId="78F9D043" w14:textId="77777777" w:rsidR="00CB34A8" w:rsidRDefault="00CB34A8">
      <w:pPr>
        <w:pStyle w:val="BodyText"/>
        <w:spacing w:before="11"/>
        <w:rPr>
          <w:b/>
          <w:sz w:val="23"/>
        </w:rPr>
      </w:pPr>
    </w:p>
    <w:p w14:paraId="22B78D48" w14:textId="77777777" w:rsidR="00CB34A8" w:rsidRDefault="00BB2CBA">
      <w:pPr>
        <w:pStyle w:val="ListParagraph"/>
        <w:numPr>
          <w:ilvl w:val="1"/>
          <w:numId w:val="1"/>
        </w:numPr>
        <w:tabs>
          <w:tab w:val="left" w:pos="1394"/>
        </w:tabs>
        <w:ind w:right="112"/>
        <w:jc w:val="both"/>
        <w:rPr>
          <w:sz w:val="24"/>
        </w:rPr>
      </w:pPr>
      <w:r>
        <w:rPr>
          <w:sz w:val="24"/>
        </w:rPr>
        <w:t>The University Assessment Regulations require each programme to have an Examination Board, the composition of which is clearly defined. It is a requirement under normal circumstances for all External Examiners associated with a programme to attend meetings of the Examination Board at which final awards</w:t>
      </w:r>
      <w:r>
        <w:rPr>
          <w:spacing w:val="50"/>
          <w:sz w:val="24"/>
        </w:rPr>
        <w:t xml:space="preserve"> </w:t>
      </w:r>
      <w:r>
        <w:rPr>
          <w:sz w:val="24"/>
        </w:rPr>
        <w:t>are determined.</w:t>
      </w:r>
    </w:p>
    <w:p w14:paraId="76B3CF35" w14:textId="77777777" w:rsidR="00CB34A8" w:rsidRDefault="00CB34A8">
      <w:pPr>
        <w:pStyle w:val="BodyText"/>
        <w:spacing w:before="11"/>
        <w:rPr>
          <w:sz w:val="23"/>
        </w:rPr>
      </w:pPr>
    </w:p>
    <w:p w14:paraId="6B210C1A" w14:textId="77777777" w:rsidR="00CB34A8" w:rsidRDefault="00BB2CBA">
      <w:pPr>
        <w:pStyle w:val="BodyText"/>
        <w:ind w:left="1393" w:right="116" w:hanging="708"/>
        <w:jc w:val="both"/>
      </w:pPr>
      <w:r>
        <w:t>2.2.1 For External Examiners who are associated with shared modules as in 1.1 above, attendance at each programme Examination Board may not be possible (though every attempt to do so should be made, particularly if the module forms a key element of the programme in question), or reasonable to expect.</w:t>
      </w:r>
    </w:p>
    <w:p w14:paraId="6DDA385B" w14:textId="77777777" w:rsidR="00CB34A8" w:rsidRDefault="00CB34A8">
      <w:pPr>
        <w:pStyle w:val="BodyText"/>
        <w:spacing w:before="11"/>
        <w:rPr>
          <w:sz w:val="23"/>
        </w:rPr>
      </w:pPr>
    </w:p>
    <w:p w14:paraId="67B0DF16" w14:textId="77777777" w:rsidR="00CB34A8" w:rsidRDefault="00BB2CBA">
      <w:pPr>
        <w:pStyle w:val="Heading2"/>
        <w:numPr>
          <w:ilvl w:val="0"/>
          <w:numId w:val="1"/>
        </w:numPr>
        <w:tabs>
          <w:tab w:val="left" w:pos="657"/>
          <w:tab w:val="left" w:pos="658"/>
        </w:tabs>
      </w:pPr>
      <w:r>
        <w:t>Determination of results to be transmitted to the Examination</w:t>
      </w:r>
      <w:r>
        <w:rPr>
          <w:spacing w:val="-7"/>
        </w:rPr>
        <w:t xml:space="preserve"> </w:t>
      </w:r>
      <w:r>
        <w:t>Board</w:t>
      </w:r>
    </w:p>
    <w:p w14:paraId="076B3BB8" w14:textId="77777777" w:rsidR="00CB34A8" w:rsidRDefault="00CB34A8">
      <w:pPr>
        <w:pStyle w:val="BodyText"/>
        <w:spacing w:before="11"/>
        <w:rPr>
          <w:b/>
          <w:sz w:val="23"/>
        </w:rPr>
      </w:pPr>
    </w:p>
    <w:p w14:paraId="37DEA476" w14:textId="77777777" w:rsidR="00CB34A8" w:rsidRDefault="00BB2CBA">
      <w:pPr>
        <w:pStyle w:val="ListParagraph"/>
        <w:numPr>
          <w:ilvl w:val="1"/>
          <w:numId w:val="1"/>
        </w:numPr>
        <w:tabs>
          <w:tab w:val="left" w:pos="1394"/>
        </w:tabs>
        <w:ind w:right="113"/>
        <w:jc w:val="both"/>
        <w:rPr>
          <w:sz w:val="24"/>
        </w:rPr>
      </w:pPr>
      <w:r>
        <w:rPr>
          <w:sz w:val="24"/>
        </w:rPr>
        <w:t>In circumstances where a shared-module External Examiner cannot be present at a programme Examination Board, the following should</w:t>
      </w:r>
      <w:r>
        <w:rPr>
          <w:spacing w:val="-4"/>
          <w:sz w:val="24"/>
        </w:rPr>
        <w:t xml:space="preserve"> </w:t>
      </w:r>
      <w:r>
        <w:rPr>
          <w:sz w:val="24"/>
        </w:rPr>
        <w:t>apply:</w:t>
      </w:r>
    </w:p>
    <w:p w14:paraId="7358198E" w14:textId="77777777" w:rsidR="00CB34A8" w:rsidRDefault="00CB34A8">
      <w:pPr>
        <w:pStyle w:val="BodyText"/>
        <w:spacing w:before="11"/>
        <w:rPr>
          <w:sz w:val="23"/>
        </w:rPr>
      </w:pPr>
    </w:p>
    <w:p w14:paraId="15D962DC" w14:textId="77777777" w:rsidR="00CB34A8" w:rsidRDefault="00BB2CBA">
      <w:pPr>
        <w:pStyle w:val="ListParagraph"/>
        <w:numPr>
          <w:ilvl w:val="2"/>
          <w:numId w:val="1"/>
        </w:numPr>
        <w:tabs>
          <w:tab w:val="left" w:pos="1962"/>
        </w:tabs>
        <w:ind w:right="115"/>
        <w:jc w:val="both"/>
        <w:rPr>
          <w:sz w:val="24"/>
        </w:rPr>
      </w:pPr>
      <w:r>
        <w:rPr>
          <w:sz w:val="24"/>
        </w:rPr>
        <w:t>a meeting between the External Examiner, the module Internal Examiner(s) and the Programme Directors associated with each programme on which the shared module exists should take</w:t>
      </w:r>
      <w:r>
        <w:rPr>
          <w:spacing w:val="-6"/>
          <w:sz w:val="24"/>
        </w:rPr>
        <w:t xml:space="preserve"> </w:t>
      </w:r>
      <w:proofErr w:type="gramStart"/>
      <w:r>
        <w:rPr>
          <w:sz w:val="24"/>
        </w:rPr>
        <w:t>place;</w:t>
      </w:r>
      <w:proofErr w:type="gramEnd"/>
    </w:p>
    <w:p w14:paraId="4FB25894" w14:textId="77777777" w:rsidR="00CB34A8" w:rsidRDefault="00CB34A8">
      <w:pPr>
        <w:pStyle w:val="BodyText"/>
        <w:spacing w:before="11"/>
        <w:rPr>
          <w:sz w:val="23"/>
        </w:rPr>
      </w:pPr>
    </w:p>
    <w:p w14:paraId="07FD0A9F" w14:textId="5EDEC6EC" w:rsidR="00CB34A8" w:rsidRDefault="00BB2CBA">
      <w:pPr>
        <w:pStyle w:val="ListParagraph"/>
        <w:numPr>
          <w:ilvl w:val="2"/>
          <w:numId w:val="1"/>
        </w:numPr>
        <w:tabs>
          <w:tab w:val="left" w:pos="1962"/>
        </w:tabs>
        <w:ind w:right="116" w:hanging="583"/>
        <w:jc w:val="both"/>
        <w:rPr>
          <w:sz w:val="24"/>
        </w:rPr>
      </w:pPr>
      <w:r>
        <w:rPr>
          <w:sz w:val="24"/>
        </w:rPr>
        <w:t>the assessment marks of each student being assessed should be fully considered, the External Examiner taking appropriate steps to satisfy him/herself that the marks given are</w:t>
      </w:r>
      <w:r>
        <w:rPr>
          <w:spacing w:val="-1"/>
          <w:sz w:val="24"/>
        </w:rPr>
        <w:t xml:space="preserve"> </w:t>
      </w:r>
      <w:proofErr w:type="gramStart"/>
      <w:r>
        <w:rPr>
          <w:sz w:val="24"/>
        </w:rPr>
        <w:t>appropriate;</w:t>
      </w:r>
      <w:proofErr w:type="gramEnd"/>
    </w:p>
    <w:p w14:paraId="559FEAC7" w14:textId="77777777" w:rsidR="00C2648D" w:rsidRPr="00E931B4" w:rsidRDefault="00C2648D" w:rsidP="00E931B4">
      <w:pPr>
        <w:pStyle w:val="ListParagraph"/>
        <w:rPr>
          <w:sz w:val="24"/>
        </w:rPr>
      </w:pPr>
    </w:p>
    <w:p w14:paraId="72427A7F" w14:textId="2616A8E5" w:rsidR="00CB34A8" w:rsidRDefault="00BB2CBA">
      <w:pPr>
        <w:pStyle w:val="ListParagraph"/>
        <w:numPr>
          <w:ilvl w:val="2"/>
          <w:numId w:val="1"/>
        </w:numPr>
        <w:tabs>
          <w:tab w:val="left" w:pos="1962"/>
        </w:tabs>
        <w:spacing w:before="79"/>
        <w:ind w:right="114"/>
        <w:jc w:val="both"/>
        <w:rPr>
          <w:sz w:val="24"/>
        </w:rPr>
      </w:pPr>
      <w:r>
        <w:rPr>
          <w:sz w:val="24"/>
        </w:rPr>
        <w:t xml:space="preserve">marks agreed at the meeting should </w:t>
      </w:r>
      <w:r w:rsidR="00C2648D">
        <w:rPr>
          <w:sz w:val="24"/>
        </w:rPr>
        <w:t>thereafter be</w:t>
      </w:r>
      <w:r>
        <w:rPr>
          <w:sz w:val="24"/>
        </w:rPr>
        <w:t xml:space="preserve"> transferred to the </w:t>
      </w:r>
      <w:proofErr w:type="gramStart"/>
      <w:r>
        <w:rPr>
          <w:sz w:val="24"/>
        </w:rPr>
        <w:t>individual programme</w:t>
      </w:r>
      <w:proofErr w:type="gramEnd"/>
      <w:r>
        <w:rPr>
          <w:sz w:val="24"/>
        </w:rPr>
        <w:t xml:space="preserve"> mark sheets to be considered by </w:t>
      </w:r>
      <w:r>
        <w:rPr>
          <w:sz w:val="24"/>
        </w:rPr>
        <w:lastRenderedPageBreak/>
        <w:t>Examination</w:t>
      </w:r>
      <w:r>
        <w:rPr>
          <w:spacing w:val="-5"/>
          <w:sz w:val="24"/>
        </w:rPr>
        <w:t xml:space="preserve"> </w:t>
      </w:r>
      <w:proofErr w:type="gramStart"/>
      <w:r>
        <w:rPr>
          <w:sz w:val="24"/>
        </w:rPr>
        <w:t>Boards;</w:t>
      </w:r>
      <w:proofErr w:type="gramEnd"/>
    </w:p>
    <w:p w14:paraId="7B625F6E" w14:textId="77777777" w:rsidR="00CB34A8" w:rsidRDefault="00CB34A8">
      <w:pPr>
        <w:pStyle w:val="BodyText"/>
        <w:spacing w:before="11"/>
        <w:rPr>
          <w:sz w:val="23"/>
        </w:rPr>
      </w:pPr>
    </w:p>
    <w:p w14:paraId="07F40490" w14:textId="77777777" w:rsidR="00CB34A8" w:rsidRDefault="00BB2CBA">
      <w:pPr>
        <w:pStyle w:val="ListParagraph"/>
        <w:numPr>
          <w:ilvl w:val="2"/>
          <w:numId w:val="1"/>
        </w:numPr>
        <w:tabs>
          <w:tab w:val="left" w:pos="1962"/>
        </w:tabs>
        <w:ind w:right="114"/>
        <w:jc w:val="both"/>
        <w:rPr>
          <w:sz w:val="24"/>
        </w:rPr>
      </w:pPr>
      <w:r>
        <w:rPr>
          <w:sz w:val="24"/>
        </w:rPr>
        <w:t>supplementary information regarding the average mark for the module cohort and for each programme cohort associated with the module should also be made available to each Examination</w:t>
      </w:r>
      <w:r>
        <w:rPr>
          <w:spacing w:val="-5"/>
          <w:sz w:val="24"/>
        </w:rPr>
        <w:t xml:space="preserve"> </w:t>
      </w:r>
      <w:proofErr w:type="gramStart"/>
      <w:r>
        <w:rPr>
          <w:sz w:val="24"/>
        </w:rPr>
        <w:t>Board;</w:t>
      </w:r>
      <w:proofErr w:type="gramEnd"/>
    </w:p>
    <w:p w14:paraId="375FB6B2" w14:textId="77777777" w:rsidR="00CB34A8" w:rsidRDefault="00CB34A8">
      <w:pPr>
        <w:pStyle w:val="BodyText"/>
        <w:spacing w:before="11"/>
        <w:rPr>
          <w:sz w:val="23"/>
        </w:rPr>
      </w:pPr>
    </w:p>
    <w:p w14:paraId="6DF08ED9" w14:textId="77777777" w:rsidR="00CB34A8" w:rsidRDefault="00BB2CBA">
      <w:pPr>
        <w:pStyle w:val="ListParagraph"/>
        <w:numPr>
          <w:ilvl w:val="2"/>
          <w:numId w:val="1"/>
        </w:numPr>
        <w:tabs>
          <w:tab w:val="left" w:pos="1962"/>
        </w:tabs>
        <w:ind w:right="117"/>
        <w:jc w:val="both"/>
        <w:rPr>
          <w:sz w:val="24"/>
        </w:rPr>
      </w:pPr>
      <w:r>
        <w:rPr>
          <w:sz w:val="24"/>
        </w:rPr>
        <w:t xml:space="preserve">comments on the performance of individual students, where necessary, and </w:t>
      </w:r>
      <w:proofErr w:type="gramStart"/>
      <w:r>
        <w:rPr>
          <w:sz w:val="24"/>
        </w:rPr>
        <w:t>in particular for</w:t>
      </w:r>
      <w:proofErr w:type="gramEnd"/>
      <w:r>
        <w:rPr>
          <w:sz w:val="24"/>
        </w:rPr>
        <w:t xml:space="preserve"> those students whose performance is at, or close to, a classification threshold should be</w:t>
      </w:r>
      <w:r>
        <w:rPr>
          <w:spacing w:val="-2"/>
          <w:sz w:val="24"/>
        </w:rPr>
        <w:t xml:space="preserve"> </w:t>
      </w:r>
      <w:proofErr w:type="gramStart"/>
      <w:r>
        <w:rPr>
          <w:sz w:val="24"/>
        </w:rPr>
        <w:t>noted;</w:t>
      </w:r>
      <w:proofErr w:type="gramEnd"/>
    </w:p>
    <w:p w14:paraId="40A4FFE9" w14:textId="77777777" w:rsidR="00CB34A8" w:rsidRDefault="00CB34A8">
      <w:pPr>
        <w:pStyle w:val="BodyText"/>
        <w:spacing w:before="11"/>
        <w:rPr>
          <w:sz w:val="23"/>
        </w:rPr>
      </w:pPr>
    </w:p>
    <w:p w14:paraId="14FA68D6" w14:textId="77777777" w:rsidR="00CB34A8" w:rsidRDefault="00BB2CBA">
      <w:pPr>
        <w:pStyle w:val="ListParagraph"/>
        <w:numPr>
          <w:ilvl w:val="2"/>
          <w:numId w:val="1"/>
        </w:numPr>
        <w:tabs>
          <w:tab w:val="left" w:pos="1962"/>
        </w:tabs>
        <w:ind w:right="113"/>
        <w:jc w:val="both"/>
        <w:rPr>
          <w:sz w:val="24"/>
        </w:rPr>
      </w:pPr>
      <w:r>
        <w:rPr>
          <w:sz w:val="24"/>
        </w:rPr>
        <w:t>a formal record of the meeting, to include (iv) and (v) above and signed by those present should be available to the Examination Boards and lodged with the Minutes of each Board.</w:t>
      </w:r>
    </w:p>
    <w:p w14:paraId="65948F64" w14:textId="77777777" w:rsidR="00CB34A8" w:rsidRDefault="00CB34A8">
      <w:pPr>
        <w:pStyle w:val="BodyText"/>
        <w:spacing w:before="11"/>
        <w:rPr>
          <w:sz w:val="23"/>
        </w:rPr>
      </w:pPr>
    </w:p>
    <w:p w14:paraId="0F4DCB45" w14:textId="77777777" w:rsidR="00CB34A8" w:rsidRDefault="00BB2CBA">
      <w:pPr>
        <w:pStyle w:val="Heading2"/>
        <w:numPr>
          <w:ilvl w:val="0"/>
          <w:numId w:val="1"/>
        </w:numPr>
        <w:tabs>
          <w:tab w:val="left" w:pos="657"/>
          <w:tab w:val="left" w:pos="658"/>
        </w:tabs>
      </w:pPr>
      <w:r>
        <w:t>Examination</w:t>
      </w:r>
      <w:r>
        <w:rPr>
          <w:spacing w:val="-3"/>
        </w:rPr>
        <w:t xml:space="preserve"> </w:t>
      </w:r>
      <w:r>
        <w:t>Boards</w:t>
      </w:r>
    </w:p>
    <w:p w14:paraId="367BC4AC" w14:textId="77777777" w:rsidR="00CB34A8" w:rsidRDefault="00CB34A8">
      <w:pPr>
        <w:pStyle w:val="BodyText"/>
        <w:spacing w:before="11"/>
        <w:rPr>
          <w:b/>
          <w:sz w:val="23"/>
        </w:rPr>
      </w:pPr>
    </w:p>
    <w:p w14:paraId="4534D393" w14:textId="77777777" w:rsidR="00CB34A8" w:rsidRDefault="00BB2CBA">
      <w:pPr>
        <w:pStyle w:val="ListParagraph"/>
        <w:numPr>
          <w:ilvl w:val="1"/>
          <w:numId w:val="1"/>
        </w:numPr>
        <w:tabs>
          <w:tab w:val="left" w:pos="1394"/>
        </w:tabs>
        <w:ind w:right="116"/>
        <w:jc w:val="both"/>
        <w:rPr>
          <w:sz w:val="24"/>
        </w:rPr>
      </w:pPr>
      <w:r>
        <w:rPr>
          <w:sz w:val="24"/>
        </w:rPr>
        <w:t>Examination Boards will receive the module marks for</w:t>
      </w:r>
      <w:r>
        <w:rPr>
          <w:spacing w:val="50"/>
          <w:sz w:val="24"/>
        </w:rPr>
        <w:t xml:space="preserve"> </w:t>
      </w:r>
      <w:r>
        <w:rPr>
          <w:sz w:val="24"/>
        </w:rPr>
        <w:t>shared modules in the normal way, and whilst they have the power to do so, would not normally alter marks as advised by the meeting given in</w:t>
      </w:r>
      <w:r>
        <w:rPr>
          <w:spacing w:val="-3"/>
          <w:sz w:val="24"/>
        </w:rPr>
        <w:t xml:space="preserve"> </w:t>
      </w:r>
      <w:r>
        <w:rPr>
          <w:sz w:val="24"/>
        </w:rPr>
        <w:t>3.</w:t>
      </w:r>
    </w:p>
    <w:p w14:paraId="16A5871F" w14:textId="77777777" w:rsidR="00CB34A8" w:rsidRDefault="00CB34A8">
      <w:pPr>
        <w:pStyle w:val="BodyText"/>
        <w:spacing w:before="10"/>
        <w:rPr>
          <w:sz w:val="23"/>
        </w:rPr>
      </w:pPr>
    </w:p>
    <w:p w14:paraId="673D6622" w14:textId="77777777" w:rsidR="00CB34A8" w:rsidRDefault="00BB2CBA">
      <w:pPr>
        <w:pStyle w:val="BodyText"/>
        <w:ind w:left="1393" w:right="114"/>
        <w:jc w:val="both"/>
      </w:pPr>
      <w:r>
        <w:t>Programme Directors will convey to the Examination Board any issues regarding the group of students, or individual students, for the Board’s consideration.</w:t>
      </w:r>
    </w:p>
    <w:sectPr w:rsidR="00CB34A8">
      <w:pgSz w:w="11910" w:h="16840"/>
      <w:pgMar w:top="1340" w:right="1680" w:bottom="1260" w:left="168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578C" w14:textId="77777777" w:rsidR="00612333" w:rsidRDefault="00612333">
      <w:r>
        <w:separator/>
      </w:r>
    </w:p>
  </w:endnote>
  <w:endnote w:type="continuationSeparator" w:id="0">
    <w:p w14:paraId="358BAAEA" w14:textId="77777777" w:rsidR="00612333" w:rsidRDefault="0061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DE55" w14:textId="4FE1E9A7" w:rsidR="00CB34A8" w:rsidRDefault="00624A0C">
    <w:pPr>
      <w:pStyle w:val="BodyText"/>
      <w:spacing w:line="14" w:lineRule="auto"/>
      <w:rPr>
        <w:sz w:val="20"/>
      </w:rPr>
    </w:pPr>
    <w:r>
      <w:rPr>
        <w:noProof/>
      </w:rPr>
      <mc:AlternateContent>
        <mc:Choice Requires="wps">
          <w:drawing>
            <wp:anchor distT="0" distB="0" distL="114300" distR="114300" simplePos="0" relativeHeight="503312912" behindDoc="1" locked="0" layoutInCell="1" allowOverlap="1" wp14:anchorId="4FEDBEE8" wp14:editId="2CDDB127">
              <wp:simplePos x="0" y="0"/>
              <wp:positionH relativeFrom="page">
                <wp:posOffset>1226820</wp:posOffset>
              </wp:positionH>
              <wp:positionV relativeFrom="page">
                <wp:posOffset>9867265</wp:posOffset>
              </wp:positionV>
              <wp:extent cx="5109210" cy="25527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2A916" w14:textId="6DE3C9DD" w:rsidR="00CB34A8" w:rsidRDefault="00BB2CBA">
                          <w:pPr>
                            <w:spacing w:before="14"/>
                            <w:ind w:left="3711" w:right="2" w:hanging="3692"/>
                            <w:rPr>
                              <w:sz w:val="16"/>
                            </w:rPr>
                          </w:pPr>
                          <w:r>
                            <w:rPr>
                              <w:sz w:val="16"/>
                            </w:rPr>
                            <w:t>Academic Handbook 20</w:t>
                          </w:r>
                          <w:r w:rsidR="000C39A0">
                            <w:rPr>
                              <w:sz w:val="16"/>
                            </w:rPr>
                            <w:t>2</w:t>
                          </w:r>
                          <w:r w:rsidR="00EE2145">
                            <w:rPr>
                              <w:sz w:val="16"/>
                            </w:rPr>
                            <w:t>5</w:t>
                          </w:r>
                          <w:r>
                            <w:rPr>
                              <w:sz w:val="16"/>
                            </w:rPr>
                            <w:t>/2</w:t>
                          </w:r>
                          <w:r w:rsidR="00EE2145">
                            <w:rPr>
                              <w:sz w:val="16"/>
                            </w:rPr>
                            <w:t>6</w:t>
                          </w:r>
                          <w:r>
                            <w:rPr>
                              <w:sz w:val="16"/>
                            </w:rPr>
                            <w:t xml:space="preserve"> - Volume </w:t>
                          </w:r>
                          <w:r w:rsidR="009E1CE0">
                            <w:rPr>
                              <w:sz w:val="16"/>
                            </w:rPr>
                            <w:t>2</w:t>
                          </w:r>
                          <w:r>
                            <w:rPr>
                              <w:sz w:val="16"/>
                            </w:rPr>
                            <w:t xml:space="preserve"> - </w:t>
                          </w:r>
                          <w:r w:rsidR="009E1CE0">
                            <w:rPr>
                              <w:sz w:val="16"/>
                            </w:rPr>
                            <w:t>12</w:t>
                          </w:r>
                          <w:r>
                            <w:rPr>
                              <w:sz w:val="16"/>
                            </w:rPr>
                            <w:t>.6 – Guidance on External Examining – Shared Modules – modified 01.09.08</w:t>
                          </w:r>
                          <w:r w:rsidR="009E1CE0">
                            <w:rPr>
                              <w:sz w:val="16"/>
                            </w:rPr>
                            <w:t xml:space="preserve">; </w:t>
                          </w:r>
                          <w:r w:rsidR="006E0389">
                            <w:rPr>
                              <w:sz w:val="16"/>
                            </w:rPr>
                            <w:t xml:space="preserve">last modified </w:t>
                          </w:r>
                          <w:r w:rsidR="009E1CE0">
                            <w:rPr>
                              <w:sz w:val="16"/>
                            </w:rPr>
                            <w:t>30.09.19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DBEE8" id="_x0000_t202" coordsize="21600,21600" o:spt="202" path="m,l,21600r21600,l21600,xe">
              <v:stroke joinstyle="miter"/>
              <v:path gradientshapeok="t" o:connecttype="rect"/>
            </v:shapetype>
            <v:shape id="Text Box 2" o:spid="_x0000_s1026" type="#_x0000_t202" style="position:absolute;margin-left:96.6pt;margin-top:776.95pt;width:402.3pt;height:20.1pt;z-index:-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" filled="f" stroked="f">
              <v:textbox inset="0,0,0,0">
                <w:txbxContent>
                  <w:p w14:paraId="7D12A916" w14:textId="6DE3C9DD" w:rsidR="00CB34A8" w:rsidRDefault="00BB2CBA">
                    <w:pPr>
                      <w:spacing w:before="14"/>
                      <w:ind w:left="3711" w:right="2" w:hanging="3692"/>
                      <w:rPr>
                        <w:sz w:val="16"/>
                      </w:rPr>
                    </w:pPr>
                    <w:r>
                      <w:rPr>
                        <w:sz w:val="16"/>
                      </w:rPr>
                      <w:t>Academic Handbook 20</w:t>
                    </w:r>
                    <w:r w:rsidR="000C39A0">
                      <w:rPr>
                        <w:sz w:val="16"/>
                      </w:rPr>
                      <w:t>2</w:t>
                    </w:r>
                    <w:r w:rsidR="00EE2145">
                      <w:rPr>
                        <w:sz w:val="16"/>
                      </w:rPr>
                      <w:t>5</w:t>
                    </w:r>
                    <w:r>
                      <w:rPr>
                        <w:sz w:val="16"/>
                      </w:rPr>
                      <w:t>/2</w:t>
                    </w:r>
                    <w:r w:rsidR="00EE2145">
                      <w:rPr>
                        <w:sz w:val="16"/>
                      </w:rPr>
                      <w:t>6</w:t>
                    </w:r>
                    <w:r>
                      <w:rPr>
                        <w:sz w:val="16"/>
                      </w:rPr>
                      <w:t xml:space="preserve"> - Volume </w:t>
                    </w:r>
                    <w:r w:rsidR="009E1CE0">
                      <w:rPr>
                        <w:sz w:val="16"/>
                      </w:rPr>
                      <w:t>2</w:t>
                    </w:r>
                    <w:r>
                      <w:rPr>
                        <w:sz w:val="16"/>
                      </w:rPr>
                      <w:t xml:space="preserve"> - </w:t>
                    </w:r>
                    <w:r w:rsidR="009E1CE0">
                      <w:rPr>
                        <w:sz w:val="16"/>
                      </w:rPr>
                      <w:t>12</w:t>
                    </w:r>
                    <w:r>
                      <w:rPr>
                        <w:sz w:val="16"/>
                      </w:rPr>
                      <w:t>.6 – Guidance on External Examining – Shared Modules – modified 01.09.08</w:t>
                    </w:r>
                    <w:r w:rsidR="009E1CE0">
                      <w:rPr>
                        <w:sz w:val="16"/>
                      </w:rPr>
                      <w:t xml:space="preserve">; </w:t>
                    </w:r>
                    <w:r w:rsidR="006E0389">
                      <w:rPr>
                        <w:sz w:val="16"/>
                      </w:rPr>
                      <w:t xml:space="preserve">last modified </w:t>
                    </w:r>
                    <w:r w:rsidR="009E1CE0">
                      <w:rPr>
                        <w:sz w:val="16"/>
                      </w:rPr>
                      <w:t>30.09.19</w:t>
                    </w:r>
                  </w:p>
                </w:txbxContent>
              </v:textbox>
              <w10:wrap anchorx="page" anchory="page"/>
            </v:shape>
          </w:pict>
        </mc:Fallback>
      </mc:AlternateContent>
    </w:r>
    <w:r>
      <w:rPr>
        <w:noProof/>
      </w:rPr>
      <mc:AlternateContent>
        <mc:Choice Requires="wps">
          <w:drawing>
            <wp:anchor distT="0" distB="0" distL="114300" distR="114300" simplePos="0" relativeHeight="503312936" behindDoc="1" locked="0" layoutInCell="1" allowOverlap="1" wp14:anchorId="376E0EB1" wp14:editId="52C19E67">
              <wp:simplePos x="0" y="0"/>
              <wp:positionH relativeFrom="page">
                <wp:posOffset>3747135</wp:posOffset>
              </wp:positionH>
              <wp:positionV relativeFrom="page">
                <wp:posOffset>10199370</wp:posOffset>
              </wp:positionV>
              <wp:extent cx="107315" cy="139065"/>
              <wp:effectExtent l="381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6B31" w14:textId="7F2BEA93" w:rsidR="00CB34A8" w:rsidRDefault="00BB2CBA">
                          <w:pPr>
                            <w:spacing w:before="14"/>
                            <w:ind w:left="40"/>
                            <w:rPr>
                              <w:sz w:val="16"/>
                            </w:rPr>
                          </w:pPr>
                          <w:r>
                            <w:fldChar w:fldCharType="begin"/>
                          </w:r>
                          <w:r>
                            <w:rPr>
                              <w:w w:val="99"/>
                              <w:sz w:val="16"/>
                            </w:rPr>
                            <w:instrText xml:space="preserve"> PAGE </w:instrText>
                          </w:r>
                          <w:r>
                            <w:fldChar w:fldCharType="separate"/>
                          </w:r>
                          <w:r w:rsidR="006E0389">
                            <w:rPr>
                              <w:noProof/>
                              <w:w w:val="99"/>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E0EB1" id="Text Box 1" o:spid="_x0000_s1027" type="#_x0000_t202" style="position:absolute;margin-left:295.05pt;margin-top:803.1pt;width:8.45pt;height:10.95pt;z-index:-3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" filled="f" stroked="f">
              <v:textbox inset="0,0,0,0">
                <w:txbxContent>
                  <w:p w14:paraId="36856B31" w14:textId="7F2BEA93" w:rsidR="00CB34A8" w:rsidRDefault="00BB2CBA">
                    <w:pPr>
                      <w:spacing w:before="14"/>
                      <w:ind w:left="40"/>
                      <w:rPr>
                        <w:sz w:val="16"/>
                      </w:rPr>
                    </w:pPr>
                    <w:r>
                      <w:fldChar w:fldCharType="begin"/>
                    </w:r>
                    <w:r>
                      <w:rPr>
                        <w:w w:val="99"/>
                        <w:sz w:val="16"/>
                      </w:rPr>
                      <w:instrText xml:space="preserve"> PAGE </w:instrText>
                    </w:r>
                    <w:r>
                      <w:fldChar w:fldCharType="separate"/>
                    </w:r>
                    <w:r w:rsidR="006E0389">
                      <w:rPr>
                        <w:noProof/>
                        <w:w w:val="99"/>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DA09" w14:textId="77777777" w:rsidR="00612333" w:rsidRDefault="00612333">
      <w:r>
        <w:separator/>
      </w:r>
    </w:p>
  </w:footnote>
  <w:footnote w:type="continuationSeparator" w:id="0">
    <w:p w14:paraId="7B40B097" w14:textId="77777777" w:rsidR="00612333" w:rsidRDefault="00612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5584A"/>
    <w:multiLevelType w:val="multilevel"/>
    <w:tmpl w:val="4AB0A044"/>
    <w:lvl w:ilvl="0">
      <w:start w:val="1"/>
      <w:numFmt w:val="decimal"/>
      <w:lvlText w:val="%1"/>
      <w:lvlJc w:val="left"/>
      <w:pPr>
        <w:ind w:left="658" w:hanging="540"/>
        <w:jc w:val="left"/>
      </w:pPr>
      <w:rPr>
        <w:rFonts w:ascii="Arial" w:eastAsia="Arial" w:hAnsi="Arial" w:cs="Arial" w:hint="default"/>
        <w:w w:val="99"/>
        <w:sz w:val="24"/>
        <w:szCs w:val="24"/>
      </w:rPr>
    </w:lvl>
    <w:lvl w:ilvl="1">
      <w:start w:val="1"/>
      <w:numFmt w:val="decimal"/>
      <w:lvlText w:val="%1.%2"/>
      <w:lvlJc w:val="left"/>
      <w:pPr>
        <w:ind w:left="1393" w:hanging="708"/>
        <w:jc w:val="left"/>
      </w:pPr>
      <w:rPr>
        <w:rFonts w:ascii="Arial" w:eastAsia="Arial" w:hAnsi="Arial" w:cs="Arial" w:hint="default"/>
        <w:w w:val="99"/>
        <w:sz w:val="24"/>
        <w:szCs w:val="24"/>
      </w:rPr>
    </w:lvl>
    <w:lvl w:ilvl="2">
      <w:start w:val="1"/>
      <w:numFmt w:val="lowerRoman"/>
      <w:lvlText w:val="(%3)"/>
      <w:lvlJc w:val="left"/>
      <w:pPr>
        <w:ind w:left="1961" w:hanging="568"/>
        <w:jc w:val="left"/>
      </w:pPr>
      <w:rPr>
        <w:rFonts w:ascii="Arial" w:eastAsia="Arial" w:hAnsi="Arial" w:cs="Arial" w:hint="default"/>
        <w:w w:val="99"/>
        <w:sz w:val="24"/>
        <w:szCs w:val="24"/>
      </w:rPr>
    </w:lvl>
    <w:lvl w:ilvl="3">
      <w:numFmt w:val="bullet"/>
      <w:lvlText w:val="•"/>
      <w:lvlJc w:val="left"/>
      <w:pPr>
        <w:ind w:left="2783" w:hanging="568"/>
      </w:pPr>
      <w:rPr>
        <w:rFonts w:hint="default"/>
      </w:rPr>
    </w:lvl>
    <w:lvl w:ilvl="4">
      <w:numFmt w:val="bullet"/>
      <w:lvlText w:val="•"/>
      <w:lvlJc w:val="left"/>
      <w:pPr>
        <w:ind w:left="3606" w:hanging="568"/>
      </w:pPr>
      <w:rPr>
        <w:rFonts w:hint="default"/>
      </w:rPr>
    </w:lvl>
    <w:lvl w:ilvl="5">
      <w:numFmt w:val="bullet"/>
      <w:lvlText w:val="•"/>
      <w:lvlJc w:val="left"/>
      <w:pPr>
        <w:ind w:left="4429" w:hanging="568"/>
      </w:pPr>
      <w:rPr>
        <w:rFonts w:hint="default"/>
      </w:rPr>
    </w:lvl>
    <w:lvl w:ilvl="6">
      <w:numFmt w:val="bullet"/>
      <w:lvlText w:val="•"/>
      <w:lvlJc w:val="left"/>
      <w:pPr>
        <w:ind w:left="5253" w:hanging="568"/>
      </w:pPr>
      <w:rPr>
        <w:rFonts w:hint="default"/>
      </w:rPr>
    </w:lvl>
    <w:lvl w:ilvl="7">
      <w:numFmt w:val="bullet"/>
      <w:lvlText w:val="•"/>
      <w:lvlJc w:val="left"/>
      <w:pPr>
        <w:ind w:left="6076" w:hanging="568"/>
      </w:pPr>
      <w:rPr>
        <w:rFonts w:hint="default"/>
      </w:rPr>
    </w:lvl>
    <w:lvl w:ilvl="8">
      <w:numFmt w:val="bullet"/>
      <w:lvlText w:val="•"/>
      <w:lvlJc w:val="left"/>
      <w:pPr>
        <w:ind w:left="6899" w:hanging="568"/>
      </w:pPr>
      <w:rPr>
        <w:rFonts w:hint="default"/>
      </w:rPr>
    </w:lvl>
  </w:abstractNum>
  <w:num w:numId="1" w16cid:durableId="104668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A8"/>
    <w:rsid w:val="000C39A0"/>
    <w:rsid w:val="00244EA1"/>
    <w:rsid w:val="004A17C9"/>
    <w:rsid w:val="005F5AC1"/>
    <w:rsid w:val="00612333"/>
    <w:rsid w:val="00624A0C"/>
    <w:rsid w:val="006268EE"/>
    <w:rsid w:val="006E0389"/>
    <w:rsid w:val="007000BB"/>
    <w:rsid w:val="00783C99"/>
    <w:rsid w:val="007D51FF"/>
    <w:rsid w:val="009016DB"/>
    <w:rsid w:val="0090774A"/>
    <w:rsid w:val="00924384"/>
    <w:rsid w:val="009E061A"/>
    <w:rsid w:val="009E1CE0"/>
    <w:rsid w:val="00AC257A"/>
    <w:rsid w:val="00AD71A3"/>
    <w:rsid w:val="00BB2CBA"/>
    <w:rsid w:val="00BB3F02"/>
    <w:rsid w:val="00C2648D"/>
    <w:rsid w:val="00CB34A8"/>
    <w:rsid w:val="00DC715A"/>
    <w:rsid w:val="00DE5F09"/>
    <w:rsid w:val="00E931B4"/>
    <w:rsid w:val="00EE2145"/>
    <w:rsid w:val="00F31180"/>
    <w:rsid w:val="00FC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EB9CC"/>
  <w15:docId w15:val="{7C55EA1F-138A-4C67-8D0C-F6060431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366" w:right="363"/>
      <w:jc w:val="center"/>
      <w:outlineLvl w:val="0"/>
    </w:pPr>
    <w:rPr>
      <w:b/>
      <w:bCs/>
      <w:sz w:val="48"/>
      <w:szCs w:val="48"/>
    </w:rPr>
  </w:style>
  <w:style w:type="paragraph" w:styleId="Heading2">
    <w:name w:val="heading 2"/>
    <w:basedOn w:val="Normal"/>
    <w:uiPriority w:val="1"/>
    <w:qFormat/>
    <w:pPr>
      <w:ind w:left="658"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3" w:hanging="70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CE0"/>
    <w:pPr>
      <w:tabs>
        <w:tab w:val="center" w:pos="4513"/>
        <w:tab w:val="right" w:pos="9026"/>
      </w:tabs>
    </w:pPr>
  </w:style>
  <w:style w:type="character" w:customStyle="1" w:styleId="HeaderChar">
    <w:name w:val="Header Char"/>
    <w:basedOn w:val="DefaultParagraphFont"/>
    <w:link w:val="Header"/>
    <w:uiPriority w:val="99"/>
    <w:rsid w:val="009E1CE0"/>
    <w:rPr>
      <w:rFonts w:ascii="Arial" w:eastAsia="Arial" w:hAnsi="Arial" w:cs="Arial"/>
    </w:rPr>
  </w:style>
  <w:style w:type="paragraph" w:styleId="Footer">
    <w:name w:val="footer"/>
    <w:basedOn w:val="Normal"/>
    <w:link w:val="FooterChar"/>
    <w:uiPriority w:val="99"/>
    <w:unhideWhenUsed/>
    <w:rsid w:val="009E1CE0"/>
    <w:pPr>
      <w:tabs>
        <w:tab w:val="center" w:pos="4513"/>
        <w:tab w:val="right" w:pos="9026"/>
      </w:tabs>
    </w:pPr>
  </w:style>
  <w:style w:type="character" w:customStyle="1" w:styleId="FooterChar">
    <w:name w:val="Footer Char"/>
    <w:basedOn w:val="DefaultParagraphFont"/>
    <w:link w:val="Footer"/>
    <w:uiPriority w:val="99"/>
    <w:rsid w:val="009E1CE0"/>
    <w:rPr>
      <w:rFonts w:ascii="Arial" w:eastAsia="Arial" w:hAnsi="Arial" w:cs="Arial"/>
    </w:rPr>
  </w:style>
  <w:style w:type="paragraph" w:styleId="BalloonText">
    <w:name w:val="Balloon Text"/>
    <w:basedOn w:val="Normal"/>
    <w:link w:val="BalloonTextChar"/>
    <w:uiPriority w:val="99"/>
    <w:semiHidden/>
    <w:unhideWhenUsed/>
    <w:rsid w:val="00E93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1B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1" ma:contentTypeDescription="Create a new document." ma:contentTypeScope="" ma:versionID="fb5de9af8d9f7821adf97d58e507d94e">
  <xsd:schema xmlns:xsd="http://www.w3.org/2001/XMLSchema" xmlns:xs="http://www.w3.org/2001/XMLSchema" xmlns:p="http://schemas.microsoft.com/office/2006/metadata/properties" xmlns:ns2="e8a7e8a4-ea5f-4035-9e71-8fb8c3e5fee7" targetNamespace="http://schemas.microsoft.com/office/2006/metadata/properties" ma:root="true" ma:fieldsID="84d943b5447bcd994f090126b42c226c" ns2:_="">
    <xsd:import namespace="e8a7e8a4-ea5f-4035-9e71-8fb8c3e5fe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7e8a4-ea5f-4035-9e71-8fb8c3e5f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3D0F-6C6F-4D1A-91AE-EA7AC71A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7e8a4-ea5f-4035-9e71-8fb8c3e5f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9E7C8-5C37-4A5D-900D-40EE71D4E3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CE3A3-626A-4B68-A3E9-CC7B23F382DA}">
  <ds:schemaRefs>
    <ds:schemaRef ds:uri="http://schemas.microsoft.com/sharepoint/v3/contenttype/forms"/>
  </ds:schemaRefs>
</ds:datastoreItem>
</file>

<file path=customXml/itemProps4.xml><?xml version="1.0" encoding="utf-8"?>
<ds:datastoreItem xmlns:ds="http://schemas.openxmlformats.org/officeDocument/2006/customXml" ds:itemID="{14433CFE-23CA-41B3-9274-F080D6DD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456</Words>
  <Characters>2541</Characters>
  <Application>Microsoft Office Word</Application>
  <DocSecurity>0</DocSecurity>
  <Lines>105</Lines>
  <Paragraphs>22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ISD</dc:creator>
  <cp:lastModifiedBy>Wildsmith, Duncan</cp:lastModifiedBy>
  <cp:revision>9</cp:revision>
  <dcterms:created xsi:type="dcterms:W3CDTF">2022-03-16T16:06:00Z</dcterms:created>
  <dcterms:modified xsi:type="dcterms:W3CDTF">2026-04-01T13:57:00Z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2019-08-08T00:00:00Z</vt:filetime>
  </property>
  <property fmtid="{D5CDD505-2E9C-101B-9397-08002B2CF9AE}" pid="3" name="Creator">
    <vt:lpwstr>Microsoft® Word 2016</vt:lpwstr>
  </property>
  <property fmtid="{D5CDD505-2E9C-101B-9397-08002B2CF9AE}" pid="4" name="LastSaved">
    <vt:filetime>2019-08-16T00:00:00Z</vt:filetime>
  </property>
  <property fmtid="{D5CDD505-2E9C-101B-9397-08002B2CF9AE}" pid="5" name="ContentTypeId">
    <vt:lpwstr>0x010100EF36D09BF0B18A478A59D10A0E70415C</vt:lpwstr>
  </property>
</Properties>
</file>