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4556" w14:textId="5A09D2EE" w:rsidR="00160D92" w:rsidRDefault="0065091F">
      <w:pPr>
        <w:spacing w:after="0" w:line="259" w:lineRule="auto"/>
        <w:ind w:left="0" w:right="0" w:firstLine="0"/>
        <w:jc w:val="left"/>
        <w:rPr>
          <w:rFonts w:asciiTheme="minorHAnsi" w:hAnsiTheme="minorHAnsi"/>
          <w:b/>
          <w:sz w:val="32"/>
        </w:rPr>
      </w:pPr>
      <w:r w:rsidRPr="00E346DE">
        <w:rPr>
          <w:rFonts w:asciiTheme="minorHAnsi" w:hAnsiTheme="minorHAnsi"/>
          <w:noProof/>
          <w:sz w:val="2"/>
        </w:rPr>
        <w:drawing>
          <wp:anchor distT="0" distB="0" distL="114300" distR="114300" simplePos="0" relativeHeight="251658240" behindDoc="1" locked="0" layoutInCell="0" allowOverlap="1" wp14:anchorId="45D25ECF" wp14:editId="124D7928">
            <wp:simplePos x="0" y="0"/>
            <wp:positionH relativeFrom="page">
              <wp:posOffset>13401</wp:posOffset>
            </wp:positionH>
            <wp:positionV relativeFrom="page">
              <wp:align>center</wp:align>
            </wp:positionV>
            <wp:extent cx="7575381" cy="10701315"/>
            <wp:effectExtent l="0" t="0" r="6985" b="5080"/>
            <wp:wrapNone/>
            <wp:docPr id="691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03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381" cy="10701315"/>
                    </a:xfrm>
                    <a:prstGeom prst="rect">
                      <a:avLst/>
                    </a:prstGeom>
                    <a:noFill/>
                  </pic:spPr>
                </pic:pic>
              </a:graphicData>
            </a:graphic>
            <wp14:sizeRelH relativeFrom="page">
              <wp14:pctWidth>0</wp14:pctWidth>
            </wp14:sizeRelH>
            <wp14:sizeRelV relativeFrom="page">
              <wp14:pctHeight>0</wp14:pctHeight>
            </wp14:sizeRelV>
          </wp:anchor>
        </w:drawing>
      </w:r>
      <w:r w:rsidR="006C63DB" w:rsidRPr="00E346DE">
        <w:rPr>
          <w:rFonts w:asciiTheme="minorHAnsi" w:hAnsiTheme="minorHAnsi"/>
          <w:b/>
          <w:sz w:val="32"/>
        </w:rPr>
        <w:t>Carbon Management Plan Progress 2024/2025</w:t>
      </w:r>
    </w:p>
    <w:p w14:paraId="51DD24C6" w14:textId="225FAEDD" w:rsidR="00693E6B" w:rsidRPr="00693E6B" w:rsidRDefault="00693E6B">
      <w:pPr>
        <w:spacing w:after="0" w:line="259" w:lineRule="auto"/>
        <w:ind w:left="0" w:right="0" w:firstLine="0"/>
        <w:jc w:val="left"/>
        <w:rPr>
          <w:rFonts w:asciiTheme="minorHAnsi" w:hAnsiTheme="minorHAnsi"/>
          <w:sz w:val="22"/>
          <w:szCs w:val="22"/>
        </w:rPr>
      </w:pPr>
      <w:r w:rsidRPr="00693E6B">
        <w:rPr>
          <w:rFonts w:asciiTheme="minorHAnsi" w:hAnsiTheme="minorHAnsi"/>
          <w:b/>
          <w:sz w:val="22"/>
          <w:szCs w:val="22"/>
        </w:rPr>
        <w:t xml:space="preserve">This document is also available in Welsh / </w:t>
      </w:r>
      <w:proofErr w:type="spellStart"/>
      <w:r w:rsidRPr="00693E6B">
        <w:rPr>
          <w:rFonts w:asciiTheme="minorHAnsi" w:hAnsiTheme="minorHAnsi"/>
          <w:b/>
          <w:sz w:val="22"/>
          <w:szCs w:val="22"/>
        </w:rPr>
        <w:t>Mae’r</w:t>
      </w:r>
      <w:proofErr w:type="spellEnd"/>
      <w:r w:rsidRPr="00693E6B">
        <w:rPr>
          <w:rFonts w:asciiTheme="minorHAnsi" w:hAnsiTheme="minorHAnsi"/>
          <w:b/>
          <w:sz w:val="22"/>
          <w:szCs w:val="22"/>
        </w:rPr>
        <w:t xml:space="preserve"> </w:t>
      </w:r>
      <w:proofErr w:type="spellStart"/>
      <w:r w:rsidRPr="00693E6B">
        <w:rPr>
          <w:rFonts w:asciiTheme="minorHAnsi" w:hAnsiTheme="minorHAnsi"/>
          <w:b/>
          <w:sz w:val="22"/>
          <w:szCs w:val="22"/>
        </w:rPr>
        <w:t>ddogfen</w:t>
      </w:r>
      <w:proofErr w:type="spellEnd"/>
      <w:r w:rsidRPr="00693E6B">
        <w:rPr>
          <w:rFonts w:asciiTheme="minorHAnsi" w:hAnsiTheme="minorHAnsi"/>
          <w:b/>
          <w:sz w:val="22"/>
          <w:szCs w:val="22"/>
        </w:rPr>
        <w:t xml:space="preserve"> hon </w:t>
      </w:r>
      <w:proofErr w:type="spellStart"/>
      <w:r w:rsidRPr="00693E6B">
        <w:rPr>
          <w:rFonts w:asciiTheme="minorHAnsi" w:hAnsiTheme="minorHAnsi"/>
          <w:b/>
          <w:sz w:val="22"/>
          <w:szCs w:val="22"/>
        </w:rPr>
        <w:t>hefyd</w:t>
      </w:r>
      <w:proofErr w:type="spellEnd"/>
      <w:r w:rsidRPr="00693E6B">
        <w:rPr>
          <w:rFonts w:asciiTheme="minorHAnsi" w:hAnsiTheme="minorHAnsi"/>
          <w:b/>
          <w:sz w:val="22"/>
          <w:szCs w:val="22"/>
        </w:rPr>
        <w:t xml:space="preserve"> </w:t>
      </w:r>
      <w:proofErr w:type="spellStart"/>
      <w:r w:rsidRPr="00693E6B">
        <w:rPr>
          <w:rFonts w:asciiTheme="minorHAnsi" w:hAnsiTheme="minorHAnsi"/>
          <w:b/>
          <w:sz w:val="22"/>
          <w:szCs w:val="22"/>
        </w:rPr>
        <w:t>ar</w:t>
      </w:r>
      <w:proofErr w:type="spellEnd"/>
      <w:r w:rsidRPr="00693E6B">
        <w:rPr>
          <w:rFonts w:asciiTheme="minorHAnsi" w:hAnsiTheme="minorHAnsi"/>
          <w:b/>
          <w:sz w:val="22"/>
          <w:szCs w:val="22"/>
        </w:rPr>
        <w:t xml:space="preserve"> </w:t>
      </w:r>
      <w:proofErr w:type="spellStart"/>
      <w:r w:rsidRPr="00693E6B">
        <w:rPr>
          <w:rFonts w:asciiTheme="minorHAnsi" w:hAnsiTheme="minorHAnsi"/>
          <w:b/>
          <w:sz w:val="22"/>
          <w:szCs w:val="22"/>
        </w:rPr>
        <w:t>gael</w:t>
      </w:r>
      <w:proofErr w:type="spellEnd"/>
      <w:r w:rsidRPr="00693E6B">
        <w:rPr>
          <w:rFonts w:asciiTheme="minorHAnsi" w:hAnsiTheme="minorHAnsi"/>
          <w:b/>
          <w:sz w:val="22"/>
          <w:szCs w:val="22"/>
        </w:rPr>
        <w:t xml:space="preserve"> </w:t>
      </w:r>
      <w:proofErr w:type="spellStart"/>
      <w:r w:rsidRPr="00693E6B">
        <w:rPr>
          <w:rFonts w:asciiTheme="minorHAnsi" w:hAnsiTheme="minorHAnsi"/>
          <w:b/>
          <w:sz w:val="22"/>
          <w:szCs w:val="22"/>
        </w:rPr>
        <w:t>yn</w:t>
      </w:r>
      <w:proofErr w:type="spellEnd"/>
      <w:r w:rsidRPr="00693E6B">
        <w:rPr>
          <w:rFonts w:asciiTheme="minorHAnsi" w:hAnsiTheme="minorHAnsi"/>
          <w:b/>
          <w:sz w:val="22"/>
          <w:szCs w:val="22"/>
        </w:rPr>
        <w:t xml:space="preserve"> </w:t>
      </w:r>
      <w:proofErr w:type="spellStart"/>
      <w:r w:rsidRPr="00693E6B">
        <w:rPr>
          <w:rFonts w:asciiTheme="minorHAnsi" w:hAnsiTheme="minorHAnsi"/>
          <w:b/>
          <w:sz w:val="22"/>
          <w:szCs w:val="22"/>
        </w:rPr>
        <w:t>Gymraeg</w:t>
      </w:r>
      <w:proofErr w:type="spellEnd"/>
      <w:r w:rsidRPr="00693E6B">
        <w:rPr>
          <w:rFonts w:asciiTheme="minorHAnsi" w:hAnsiTheme="minorHAnsi"/>
          <w:b/>
          <w:sz w:val="22"/>
          <w:szCs w:val="22"/>
        </w:rPr>
        <w:t>.</w:t>
      </w:r>
    </w:p>
    <w:p w14:paraId="023BA985" w14:textId="77777777" w:rsidR="00160D92" w:rsidRPr="00E346DE" w:rsidRDefault="006C63DB">
      <w:pPr>
        <w:spacing w:after="304" w:line="259" w:lineRule="auto"/>
        <w:ind w:left="0" w:right="0" w:firstLine="0"/>
        <w:jc w:val="left"/>
        <w:rPr>
          <w:rFonts w:asciiTheme="minorHAnsi" w:hAnsiTheme="minorHAnsi"/>
        </w:rPr>
      </w:pPr>
      <w:r w:rsidRPr="00E346DE">
        <w:rPr>
          <w:rFonts w:asciiTheme="minorHAnsi" w:hAnsiTheme="minorHAnsi"/>
          <w:b/>
          <w:sz w:val="10"/>
        </w:rPr>
        <w:t xml:space="preserve"> </w:t>
      </w:r>
    </w:p>
    <w:p w14:paraId="45E30C69" w14:textId="77777777" w:rsidR="00160D92" w:rsidRPr="00E346DE" w:rsidRDefault="006C63DB">
      <w:pPr>
        <w:spacing w:after="211"/>
        <w:ind w:right="0"/>
        <w:rPr>
          <w:rFonts w:asciiTheme="minorHAnsi" w:hAnsiTheme="minorHAnsi"/>
        </w:rPr>
      </w:pPr>
      <w:r w:rsidRPr="00E346DE">
        <w:rPr>
          <w:rFonts w:asciiTheme="minorHAnsi" w:hAnsiTheme="minorHAnsi"/>
        </w:rPr>
        <w:t>Cardiff Metropolitan University’s commitment to reducing our carbon emissions as much as possible is supported by transparency about our emissions, both current and historical.</w:t>
      </w:r>
      <w:r w:rsidRPr="00E346DE">
        <w:rPr>
          <w:rFonts w:asciiTheme="minorHAnsi" w:eastAsia="Verdana" w:hAnsiTheme="minorHAnsi" w:cs="Verdana"/>
          <w:color w:val="171717"/>
          <w:sz w:val="18"/>
        </w:rPr>
        <w:t xml:space="preserve"> </w:t>
      </w:r>
      <w:r w:rsidRPr="00E346DE">
        <w:rPr>
          <w:rFonts w:asciiTheme="minorHAnsi" w:hAnsiTheme="minorHAnsi"/>
        </w:rPr>
        <w:t xml:space="preserve">The following table provides a breakdown of the University's carbon emissions across Scope 1 and Scope 2 from the operational estate, and selected scope 3 emissions categories.  </w:t>
      </w:r>
    </w:p>
    <w:p w14:paraId="326001B9" w14:textId="77777777" w:rsidR="00160D92" w:rsidRPr="00E346DE" w:rsidRDefault="006C63DB">
      <w:pPr>
        <w:pStyle w:val="Heading1"/>
        <w:ind w:left="-5"/>
        <w:rPr>
          <w:rFonts w:asciiTheme="minorHAnsi" w:hAnsiTheme="minorHAnsi"/>
        </w:rPr>
      </w:pPr>
      <w:r w:rsidRPr="00E346DE">
        <w:rPr>
          <w:rFonts w:asciiTheme="minorHAnsi" w:hAnsiTheme="minorHAnsi"/>
        </w:rPr>
        <w:t xml:space="preserve">SCOPES 1,2 &amp; 3 </w:t>
      </w:r>
    </w:p>
    <w:tbl>
      <w:tblPr>
        <w:tblStyle w:val="TableGridLight"/>
        <w:tblW w:w="8411" w:type="dxa"/>
        <w:tblLook w:val="04A0" w:firstRow="1" w:lastRow="0" w:firstColumn="1" w:lastColumn="0" w:noHBand="0" w:noVBand="1"/>
      </w:tblPr>
      <w:tblGrid>
        <w:gridCol w:w="1092"/>
        <w:gridCol w:w="1195"/>
        <w:gridCol w:w="1234"/>
        <w:gridCol w:w="1236"/>
        <w:gridCol w:w="1632"/>
        <w:gridCol w:w="2022"/>
      </w:tblGrid>
      <w:tr w:rsidR="0090639A" w:rsidRPr="00E346DE" w14:paraId="352B74D9" w14:textId="77777777" w:rsidTr="0090639A">
        <w:trPr>
          <w:trHeight w:val="594"/>
        </w:trPr>
        <w:tc>
          <w:tcPr>
            <w:tcW w:w="1092" w:type="dxa"/>
          </w:tcPr>
          <w:p w14:paraId="282EDE11" w14:textId="77777777" w:rsidR="0090639A" w:rsidRPr="00E346DE" w:rsidRDefault="0090639A">
            <w:pPr>
              <w:spacing w:after="0" w:line="259" w:lineRule="auto"/>
              <w:ind w:left="0" w:right="0" w:firstLine="0"/>
              <w:jc w:val="left"/>
              <w:rPr>
                <w:rFonts w:asciiTheme="minorHAnsi" w:hAnsiTheme="minorHAnsi"/>
                <w:color w:val="000000" w:themeColor="text1"/>
              </w:rPr>
            </w:pPr>
            <w:r w:rsidRPr="00E346DE">
              <w:rPr>
                <w:rFonts w:asciiTheme="minorHAnsi" w:hAnsiTheme="minorHAnsi"/>
                <w:b/>
                <w:color w:val="000000" w:themeColor="text1"/>
              </w:rPr>
              <w:t xml:space="preserve">Area </w:t>
            </w:r>
          </w:p>
        </w:tc>
        <w:tc>
          <w:tcPr>
            <w:tcW w:w="1195" w:type="dxa"/>
          </w:tcPr>
          <w:p w14:paraId="2909ED12" w14:textId="77777777" w:rsidR="0090639A" w:rsidRPr="00E346DE" w:rsidRDefault="0090639A">
            <w:pPr>
              <w:spacing w:after="0" w:line="259" w:lineRule="auto"/>
              <w:ind w:left="0" w:right="0" w:firstLine="0"/>
              <w:jc w:val="left"/>
              <w:rPr>
                <w:rFonts w:asciiTheme="minorHAnsi" w:hAnsiTheme="minorHAnsi"/>
                <w:color w:val="000000" w:themeColor="text1"/>
              </w:rPr>
            </w:pPr>
            <w:r w:rsidRPr="00E346DE">
              <w:rPr>
                <w:rFonts w:asciiTheme="minorHAnsi" w:hAnsiTheme="minorHAnsi"/>
                <w:b/>
                <w:color w:val="000000" w:themeColor="text1"/>
              </w:rPr>
              <w:t xml:space="preserve">Baseline 2021/22 </w:t>
            </w:r>
          </w:p>
        </w:tc>
        <w:tc>
          <w:tcPr>
            <w:tcW w:w="1234" w:type="dxa"/>
          </w:tcPr>
          <w:p w14:paraId="7CD89C88" w14:textId="77777777" w:rsidR="0090639A" w:rsidRPr="00E346DE" w:rsidRDefault="0090639A">
            <w:pPr>
              <w:spacing w:after="0" w:line="259" w:lineRule="auto"/>
              <w:ind w:left="51" w:right="0" w:firstLine="0"/>
              <w:jc w:val="center"/>
              <w:rPr>
                <w:rFonts w:asciiTheme="minorHAnsi" w:hAnsiTheme="minorHAnsi"/>
                <w:color w:val="000000" w:themeColor="text1"/>
              </w:rPr>
            </w:pPr>
            <w:r w:rsidRPr="00E346DE">
              <w:rPr>
                <w:rFonts w:asciiTheme="minorHAnsi" w:hAnsiTheme="minorHAnsi"/>
                <w:b/>
                <w:color w:val="000000" w:themeColor="text1"/>
              </w:rPr>
              <w:t xml:space="preserve"> </w:t>
            </w:r>
          </w:p>
          <w:p w14:paraId="1CFA1B2C" w14:textId="77777777" w:rsidR="0090639A" w:rsidRPr="00E346DE" w:rsidRDefault="0090639A">
            <w:pPr>
              <w:spacing w:after="0" w:line="259" w:lineRule="auto"/>
              <w:ind w:left="101" w:right="0" w:firstLine="0"/>
              <w:jc w:val="left"/>
              <w:rPr>
                <w:rFonts w:asciiTheme="minorHAnsi" w:hAnsiTheme="minorHAnsi"/>
                <w:color w:val="000000" w:themeColor="text1"/>
              </w:rPr>
            </w:pPr>
            <w:r w:rsidRPr="00E346DE">
              <w:rPr>
                <w:rFonts w:asciiTheme="minorHAnsi" w:hAnsiTheme="minorHAnsi"/>
                <w:b/>
                <w:color w:val="000000" w:themeColor="text1"/>
              </w:rPr>
              <w:t xml:space="preserve">2022/23 </w:t>
            </w:r>
          </w:p>
        </w:tc>
        <w:tc>
          <w:tcPr>
            <w:tcW w:w="1236" w:type="dxa"/>
          </w:tcPr>
          <w:p w14:paraId="41F133F0" w14:textId="77777777" w:rsidR="0090639A" w:rsidRPr="00E346DE" w:rsidRDefault="0090639A">
            <w:pPr>
              <w:spacing w:after="0" w:line="259" w:lineRule="auto"/>
              <w:ind w:left="56" w:right="0" w:firstLine="0"/>
              <w:jc w:val="center"/>
              <w:rPr>
                <w:rFonts w:asciiTheme="minorHAnsi" w:hAnsiTheme="minorHAnsi"/>
                <w:color w:val="000000" w:themeColor="text1"/>
              </w:rPr>
            </w:pPr>
            <w:r w:rsidRPr="00E346DE">
              <w:rPr>
                <w:rFonts w:asciiTheme="minorHAnsi" w:hAnsiTheme="minorHAnsi"/>
                <w:b/>
                <w:color w:val="000000" w:themeColor="text1"/>
              </w:rPr>
              <w:t xml:space="preserve"> </w:t>
            </w:r>
          </w:p>
          <w:p w14:paraId="5D624691" w14:textId="77777777" w:rsidR="0090639A" w:rsidRPr="00E346DE" w:rsidRDefault="0090639A">
            <w:pPr>
              <w:spacing w:after="0" w:line="259" w:lineRule="auto"/>
              <w:ind w:left="105" w:right="0" w:firstLine="0"/>
              <w:jc w:val="left"/>
              <w:rPr>
                <w:rFonts w:asciiTheme="minorHAnsi" w:hAnsiTheme="minorHAnsi"/>
                <w:color w:val="000000" w:themeColor="text1"/>
              </w:rPr>
            </w:pPr>
            <w:r w:rsidRPr="00E346DE">
              <w:rPr>
                <w:rFonts w:asciiTheme="minorHAnsi" w:hAnsiTheme="minorHAnsi"/>
                <w:b/>
                <w:color w:val="000000" w:themeColor="text1"/>
              </w:rPr>
              <w:t xml:space="preserve">2023/24 </w:t>
            </w:r>
          </w:p>
        </w:tc>
        <w:tc>
          <w:tcPr>
            <w:tcW w:w="1632" w:type="dxa"/>
          </w:tcPr>
          <w:p w14:paraId="2DE76CBF" w14:textId="77777777" w:rsidR="0090639A" w:rsidRPr="00E346DE" w:rsidRDefault="0090639A">
            <w:pPr>
              <w:spacing w:after="0" w:line="259" w:lineRule="auto"/>
              <w:ind w:left="6" w:right="0" w:firstLine="0"/>
              <w:jc w:val="center"/>
              <w:rPr>
                <w:rFonts w:asciiTheme="minorHAnsi" w:hAnsiTheme="minorHAnsi"/>
                <w:b/>
                <w:color w:val="000000" w:themeColor="text1"/>
              </w:rPr>
            </w:pPr>
          </w:p>
          <w:p w14:paraId="2EFDF61E" w14:textId="5EEC13F2" w:rsidR="0090639A" w:rsidRPr="00E346DE" w:rsidRDefault="0090639A">
            <w:pPr>
              <w:spacing w:after="0" w:line="259" w:lineRule="auto"/>
              <w:ind w:left="6" w:right="0" w:firstLine="0"/>
              <w:jc w:val="center"/>
              <w:rPr>
                <w:rFonts w:asciiTheme="minorHAnsi" w:hAnsiTheme="minorHAnsi"/>
                <w:b/>
                <w:color w:val="000000" w:themeColor="text1"/>
              </w:rPr>
            </w:pPr>
            <w:r w:rsidRPr="00E346DE">
              <w:rPr>
                <w:rFonts w:asciiTheme="minorHAnsi" w:hAnsiTheme="minorHAnsi"/>
                <w:b/>
                <w:color w:val="000000" w:themeColor="text1"/>
              </w:rPr>
              <w:t>2024/2025</w:t>
            </w:r>
          </w:p>
        </w:tc>
        <w:tc>
          <w:tcPr>
            <w:tcW w:w="2022" w:type="dxa"/>
          </w:tcPr>
          <w:p w14:paraId="1E3A145A" w14:textId="32B398E9" w:rsidR="0090639A" w:rsidRPr="00E346DE" w:rsidRDefault="0090639A">
            <w:pPr>
              <w:spacing w:after="0" w:line="259" w:lineRule="auto"/>
              <w:ind w:left="6" w:right="0" w:firstLine="0"/>
              <w:jc w:val="center"/>
              <w:rPr>
                <w:rFonts w:asciiTheme="minorHAnsi" w:hAnsiTheme="minorHAnsi"/>
                <w:color w:val="000000" w:themeColor="text1"/>
              </w:rPr>
            </w:pPr>
            <w:r w:rsidRPr="00E346DE">
              <w:rPr>
                <w:rFonts w:asciiTheme="minorHAnsi" w:hAnsiTheme="minorHAnsi"/>
                <w:b/>
                <w:color w:val="000000" w:themeColor="text1"/>
              </w:rPr>
              <w:t xml:space="preserve">2030 Target </w:t>
            </w:r>
          </w:p>
        </w:tc>
      </w:tr>
      <w:tr w:rsidR="0090639A" w:rsidRPr="00E346DE" w14:paraId="6A0BE201" w14:textId="77777777" w:rsidTr="00547D50">
        <w:trPr>
          <w:trHeight w:val="304"/>
        </w:trPr>
        <w:tc>
          <w:tcPr>
            <w:tcW w:w="1092" w:type="dxa"/>
          </w:tcPr>
          <w:p w14:paraId="5F2E6C7E" w14:textId="7A217BEA" w:rsidR="0090639A" w:rsidRPr="00E346DE" w:rsidRDefault="0090639A">
            <w:pPr>
              <w:spacing w:after="0" w:line="259" w:lineRule="auto"/>
              <w:ind w:left="0" w:right="0" w:firstLine="0"/>
              <w:jc w:val="left"/>
              <w:rPr>
                <w:rFonts w:asciiTheme="minorHAnsi" w:hAnsiTheme="minorHAnsi"/>
              </w:rPr>
            </w:pPr>
            <w:r w:rsidRPr="00E346DE">
              <w:rPr>
                <w:rFonts w:asciiTheme="minorHAnsi" w:hAnsiTheme="minorHAnsi"/>
                <w:b/>
              </w:rPr>
              <w:t xml:space="preserve">Scope 1 </w:t>
            </w:r>
            <w:r w:rsidR="007949FB" w:rsidRPr="00E346DE">
              <w:rPr>
                <w:rFonts w:asciiTheme="minorHAnsi" w:hAnsiTheme="minorHAnsi"/>
                <w:b/>
              </w:rPr>
              <w:t>(tCO</w:t>
            </w:r>
            <w:r w:rsidR="007949FB" w:rsidRPr="00E346DE">
              <w:rPr>
                <w:rFonts w:asciiTheme="minorHAnsi" w:hAnsiTheme="minorHAnsi"/>
                <w:b/>
                <w:vertAlign w:val="subscript"/>
              </w:rPr>
              <w:t>2</w:t>
            </w:r>
            <w:r w:rsidR="007949FB" w:rsidRPr="00E346DE">
              <w:rPr>
                <w:rFonts w:asciiTheme="minorHAnsi" w:hAnsiTheme="minorHAnsi"/>
                <w:b/>
              </w:rPr>
              <w:t>e)</w:t>
            </w:r>
          </w:p>
        </w:tc>
        <w:tc>
          <w:tcPr>
            <w:tcW w:w="1195" w:type="dxa"/>
          </w:tcPr>
          <w:p w14:paraId="1304F871" w14:textId="0EA792E0" w:rsidR="0090639A" w:rsidRPr="00E346DE" w:rsidRDefault="007949FB">
            <w:pPr>
              <w:spacing w:after="0" w:line="259" w:lineRule="auto"/>
              <w:ind w:left="0" w:right="0" w:firstLine="0"/>
              <w:jc w:val="left"/>
              <w:rPr>
                <w:rFonts w:asciiTheme="minorHAnsi" w:hAnsiTheme="minorHAnsi"/>
              </w:rPr>
            </w:pPr>
            <w:r w:rsidRPr="00E346DE">
              <w:rPr>
                <w:rFonts w:asciiTheme="minorHAnsi" w:hAnsiTheme="minorHAnsi"/>
              </w:rPr>
              <w:t>1,</w:t>
            </w:r>
            <w:r w:rsidR="00324C11" w:rsidRPr="00E346DE">
              <w:rPr>
                <w:rFonts w:asciiTheme="minorHAnsi" w:hAnsiTheme="minorHAnsi"/>
              </w:rPr>
              <w:t>753.97</w:t>
            </w:r>
          </w:p>
        </w:tc>
        <w:tc>
          <w:tcPr>
            <w:tcW w:w="1234" w:type="dxa"/>
          </w:tcPr>
          <w:p w14:paraId="40BBB249" w14:textId="08DBDEA1" w:rsidR="0090639A" w:rsidRPr="00E346DE" w:rsidRDefault="00324C11">
            <w:pPr>
              <w:spacing w:after="0" w:line="259" w:lineRule="auto"/>
              <w:ind w:left="4" w:right="0" w:firstLine="0"/>
              <w:jc w:val="center"/>
              <w:rPr>
                <w:rFonts w:asciiTheme="minorHAnsi" w:hAnsiTheme="minorHAnsi"/>
              </w:rPr>
            </w:pPr>
            <w:r w:rsidRPr="00E346DE">
              <w:rPr>
                <w:rFonts w:asciiTheme="minorHAnsi" w:hAnsiTheme="minorHAnsi"/>
              </w:rPr>
              <w:t>1815.12</w:t>
            </w:r>
            <w:r w:rsidR="0090639A" w:rsidRPr="00E346DE">
              <w:rPr>
                <w:rFonts w:asciiTheme="minorHAnsi" w:hAnsiTheme="minorHAnsi"/>
              </w:rPr>
              <w:t xml:space="preserve"> </w:t>
            </w:r>
          </w:p>
        </w:tc>
        <w:tc>
          <w:tcPr>
            <w:tcW w:w="1236" w:type="dxa"/>
          </w:tcPr>
          <w:p w14:paraId="7BB36CF0" w14:textId="3D51812C" w:rsidR="0090639A" w:rsidRPr="00E346DE" w:rsidRDefault="00324C11">
            <w:pPr>
              <w:spacing w:after="0" w:line="259" w:lineRule="auto"/>
              <w:ind w:left="9" w:right="0" w:firstLine="0"/>
              <w:jc w:val="center"/>
              <w:rPr>
                <w:rFonts w:asciiTheme="minorHAnsi" w:hAnsiTheme="minorHAnsi"/>
              </w:rPr>
            </w:pPr>
            <w:r w:rsidRPr="00E346DE">
              <w:rPr>
                <w:rFonts w:asciiTheme="minorHAnsi" w:hAnsiTheme="minorHAnsi"/>
              </w:rPr>
              <w:t>1549.10</w:t>
            </w:r>
            <w:r w:rsidR="0090639A" w:rsidRPr="00E346DE">
              <w:rPr>
                <w:rFonts w:asciiTheme="minorHAnsi" w:hAnsiTheme="minorHAnsi"/>
              </w:rPr>
              <w:t xml:space="preserve"> </w:t>
            </w:r>
          </w:p>
        </w:tc>
        <w:tc>
          <w:tcPr>
            <w:tcW w:w="1632" w:type="dxa"/>
          </w:tcPr>
          <w:p w14:paraId="6DCA2D86" w14:textId="268CE846" w:rsidR="0090639A" w:rsidRPr="00E346DE" w:rsidRDefault="00324C11">
            <w:pPr>
              <w:spacing w:after="0" w:line="259" w:lineRule="auto"/>
              <w:ind w:left="3" w:right="0" w:firstLine="0"/>
              <w:jc w:val="center"/>
              <w:rPr>
                <w:rFonts w:asciiTheme="minorHAnsi" w:hAnsiTheme="minorHAnsi"/>
              </w:rPr>
            </w:pPr>
            <w:r w:rsidRPr="00E346DE">
              <w:rPr>
                <w:rFonts w:asciiTheme="minorHAnsi" w:hAnsiTheme="minorHAnsi"/>
              </w:rPr>
              <w:t>1253.87</w:t>
            </w:r>
          </w:p>
        </w:tc>
        <w:tc>
          <w:tcPr>
            <w:tcW w:w="2022" w:type="dxa"/>
          </w:tcPr>
          <w:p w14:paraId="2D672BE6" w14:textId="5FD79DB6" w:rsidR="0090639A" w:rsidRPr="00E346DE" w:rsidRDefault="0090639A">
            <w:pPr>
              <w:spacing w:after="0" w:line="259" w:lineRule="auto"/>
              <w:ind w:left="3" w:right="0" w:firstLine="0"/>
              <w:jc w:val="center"/>
              <w:rPr>
                <w:rFonts w:asciiTheme="minorHAnsi" w:hAnsiTheme="minorHAnsi"/>
              </w:rPr>
            </w:pPr>
            <w:r w:rsidRPr="00E346DE">
              <w:rPr>
                <w:rFonts w:asciiTheme="minorHAnsi" w:hAnsiTheme="minorHAnsi"/>
              </w:rPr>
              <w:t xml:space="preserve">Net zero by 2030 </w:t>
            </w:r>
          </w:p>
        </w:tc>
      </w:tr>
      <w:tr w:rsidR="0090639A" w:rsidRPr="00E346DE" w14:paraId="4B387474" w14:textId="77777777" w:rsidTr="00547D50">
        <w:trPr>
          <w:trHeight w:val="303"/>
        </w:trPr>
        <w:tc>
          <w:tcPr>
            <w:tcW w:w="1092" w:type="dxa"/>
          </w:tcPr>
          <w:p w14:paraId="64EA3D31" w14:textId="7B863C2A" w:rsidR="0090639A" w:rsidRPr="00E346DE" w:rsidRDefault="0090639A">
            <w:pPr>
              <w:spacing w:after="0" w:line="259" w:lineRule="auto"/>
              <w:ind w:left="0" w:right="0" w:firstLine="0"/>
              <w:jc w:val="left"/>
              <w:rPr>
                <w:rFonts w:asciiTheme="minorHAnsi" w:hAnsiTheme="minorHAnsi"/>
              </w:rPr>
            </w:pPr>
            <w:r w:rsidRPr="00E346DE">
              <w:rPr>
                <w:rFonts w:asciiTheme="minorHAnsi" w:hAnsiTheme="minorHAnsi"/>
                <w:b/>
              </w:rPr>
              <w:t xml:space="preserve">Scope 2 </w:t>
            </w:r>
            <w:r w:rsidR="007949FB" w:rsidRPr="00E346DE">
              <w:rPr>
                <w:rFonts w:asciiTheme="minorHAnsi" w:hAnsiTheme="minorHAnsi"/>
                <w:b/>
              </w:rPr>
              <w:t>(tCO</w:t>
            </w:r>
            <w:r w:rsidR="007949FB" w:rsidRPr="00E346DE">
              <w:rPr>
                <w:rFonts w:asciiTheme="minorHAnsi" w:hAnsiTheme="minorHAnsi"/>
                <w:b/>
                <w:vertAlign w:val="subscript"/>
              </w:rPr>
              <w:t>2</w:t>
            </w:r>
            <w:r w:rsidR="007949FB" w:rsidRPr="00E346DE">
              <w:rPr>
                <w:rFonts w:asciiTheme="minorHAnsi" w:hAnsiTheme="minorHAnsi"/>
                <w:b/>
              </w:rPr>
              <w:t>e)</w:t>
            </w:r>
          </w:p>
        </w:tc>
        <w:tc>
          <w:tcPr>
            <w:tcW w:w="1195" w:type="dxa"/>
          </w:tcPr>
          <w:p w14:paraId="093A722C" w14:textId="3413F7D5" w:rsidR="0090639A" w:rsidRPr="00E346DE" w:rsidRDefault="00324C11">
            <w:pPr>
              <w:spacing w:after="0" w:line="259" w:lineRule="auto"/>
              <w:ind w:left="0" w:right="0" w:firstLine="0"/>
              <w:jc w:val="left"/>
              <w:rPr>
                <w:rFonts w:asciiTheme="minorHAnsi" w:hAnsiTheme="minorHAnsi"/>
              </w:rPr>
            </w:pPr>
            <w:r w:rsidRPr="00E346DE">
              <w:rPr>
                <w:rFonts w:asciiTheme="minorHAnsi" w:hAnsiTheme="minorHAnsi"/>
              </w:rPr>
              <w:t>1244.72</w:t>
            </w:r>
            <w:r w:rsidR="0090639A" w:rsidRPr="00E346DE">
              <w:rPr>
                <w:rFonts w:asciiTheme="minorHAnsi" w:hAnsiTheme="minorHAnsi"/>
              </w:rPr>
              <w:t xml:space="preserve"> </w:t>
            </w:r>
          </w:p>
        </w:tc>
        <w:tc>
          <w:tcPr>
            <w:tcW w:w="1234" w:type="dxa"/>
          </w:tcPr>
          <w:p w14:paraId="223AAEA5" w14:textId="1211910B" w:rsidR="0090639A" w:rsidRPr="00E346DE" w:rsidRDefault="00324C11">
            <w:pPr>
              <w:spacing w:after="0" w:line="259" w:lineRule="auto"/>
              <w:ind w:left="4" w:right="0" w:firstLine="0"/>
              <w:jc w:val="center"/>
              <w:rPr>
                <w:rFonts w:asciiTheme="minorHAnsi" w:hAnsiTheme="minorHAnsi"/>
              </w:rPr>
            </w:pPr>
            <w:r w:rsidRPr="00E346DE">
              <w:rPr>
                <w:rFonts w:asciiTheme="minorHAnsi" w:hAnsiTheme="minorHAnsi"/>
              </w:rPr>
              <w:t>1248.21</w:t>
            </w:r>
            <w:r w:rsidR="0090639A" w:rsidRPr="00E346DE">
              <w:rPr>
                <w:rFonts w:asciiTheme="minorHAnsi" w:hAnsiTheme="minorHAnsi"/>
              </w:rPr>
              <w:t xml:space="preserve"> </w:t>
            </w:r>
          </w:p>
        </w:tc>
        <w:tc>
          <w:tcPr>
            <w:tcW w:w="1236" w:type="dxa"/>
          </w:tcPr>
          <w:p w14:paraId="404AAD4F" w14:textId="7DC9FD96" w:rsidR="0090639A" w:rsidRPr="00E346DE" w:rsidRDefault="00324C11">
            <w:pPr>
              <w:spacing w:after="0" w:line="259" w:lineRule="auto"/>
              <w:ind w:left="9" w:right="0" w:firstLine="0"/>
              <w:jc w:val="center"/>
              <w:rPr>
                <w:rFonts w:asciiTheme="minorHAnsi" w:hAnsiTheme="minorHAnsi"/>
              </w:rPr>
            </w:pPr>
            <w:r w:rsidRPr="00E346DE">
              <w:rPr>
                <w:rFonts w:asciiTheme="minorHAnsi" w:hAnsiTheme="minorHAnsi"/>
              </w:rPr>
              <w:t>1004.18</w:t>
            </w:r>
            <w:r w:rsidR="0090639A" w:rsidRPr="00E346DE">
              <w:rPr>
                <w:rFonts w:asciiTheme="minorHAnsi" w:hAnsiTheme="minorHAnsi"/>
              </w:rPr>
              <w:t xml:space="preserve"> </w:t>
            </w:r>
          </w:p>
        </w:tc>
        <w:tc>
          <w:tcPr>
            <w:tcW w:w="1632" w:type="dxa"/>
          </w:tcPr>
          <w:p w14:paraId="685DD1A4" w14:textId="73523677" w:rsidR="0090639A" w:rsidRPr="00E346DE" w:rsidRDefault="002B6302">
            <w:pPr>
              <w:spacing w:after="0" w:line="259" w:lineRule="auto"/>
              <w:ind w:left="3" w:right="0" w:firstLine="0"/>
              <w:jc w:val="center"/>
              <w:rPr>
                <w:rFonts w:asciiTheme="minorHAnsi" w:hAnsiTheme="minorHAnsi"/>
              </w:rPr>
            </w:pPr>
            <w:r w:rsidRPr="00E346DE">
              <w:rPr>
                <w:rFonts w:asciiTheme="minorHAnsi" w:hAnsiTheme="minorHAnsi"/>
              </w:rPr>
              <w:t>990.45</w:t>
            </w:r>
          </w:p>
        </w:tc>
        <w:tc>
          <w:tcPr>
            <w:tcW w:w="2022" w:type="dxa"/>
          </w:tcPr>
          <w:p w14:paraId="0BE7807A" w14:textId="004168CB" w:rsidR="0090639A" w:rsidRPr="00E346DE" w:rsidRDefault="0090639A">
            <w:pPr>
              <w:spacing w:after="0" w:line="259" w:lineRule="auto"/>
              <w:ind w:left="3" w:right="0" w:firstLine="0"/>
              <w:jc w:val="center"/>
              <w:rPr>
                <w:rFonts w:asciiTheme="minorHAnsi" w:hAnsiTheme="minorHAnsi"/>
              </w:rPr>
            </w:pPr>
            <w:r w:rsidRPr="00E346DE">
              <w:rPr>
                <w:rFonts w:asciiTheme="minorHAnsi" w:hAnsiTheme="minorHAnsi"/>
              </w:rPr>
              <w:t xml:space="preserve">Net zero by 2030 </w:t>
            </w:r>
          </w:p>
        </w:tc>
      </w:tr>
      <w:tr w:rsidR="0090639A" w:rsidRPr="00E346DE" w14:paraId="2BF75008" w14:textId="77777777" w:rsidTr="00547D50">
        <w:trPr>
          <w:trHeight w:val="593"/>
        </w:trPr>
        <w:tc>
          <w:tcPr>
            <w:tcW w:w="1092" w:type="dxa"/>
          </w:tcPr>
          <w:p w14:paraId="4FD85F74" w14:textId="29CB71FE" w:rsidR="0090639A" w:rsidRPr="00E346DE" w:rsidRDefault="0090639A">
            <w:pPr>
              <w:spacing w:after="0" w:line="259" w:lineRule="auto"/>
              <w:ind w:left="0" w:right="0" w:firstLine="0"/>
              <w:jc w:val="left"/>
              <w:rPr>
                <w:rFonts w:asciiTheme="minorHAnsi" w:hAnsiTheme="minorHAnsi"/>
              </w:rPr>
            </w:pPr>
            <w:r w:rsidRPr="00E346DE">
              <w:rPr>
                <w:rFonts w:asciiTheme="minorHAnsi" w:hAnsiTheme="minorHAnsi"/>
                <w:b/>
              </w:rPr>
              <w:t>Scope 3</w:t>
            </w:r>
            <w:r w:rsidR="007949FB" w:rsidRPr="00E346DE">
              <w:rPr>
                <w:rFonts w:asciiTheme="minorHAnsi" w:hAnsiTheme="minorHAnsi"/>
                <w:b/>
              </w:rPr>
              <w:t xml:space="preserve"> (tCO</w:t>
            </w:r>
            <w:r w:rsidR="007949FB" w:rsidRPr="00E346DE">
              <w:rPr>
                <w:rFonts w:asciiTheme="minorHAnsi" w:hAnsiTheme="minorHAnsi"/>
                <w:b/>
                <w:vertAlign w:val="subscript"/>
              </w:rPr>
              <w:t>2</w:t>
            </w:r>
            <w:r w:rsidR="007949FB" w:rsidRPr="00E346DE">
              <w:rPr>
                <w:rFonts w:asciiTheme="minorHAnsi" w:hAnsiTheme="minorHAnsi"/>
                <w:b/>
              </w:rPr>
              <w:t>e)</w:t>
            </w:r>
            <w:r w:rsidRPr="00E346DE">
              <w:rPr>
                <w:rFonts w:asciiTheme="minorHAnsi" w:hAnsiTheme="minorHAnsi"/>
                <w:b/>
              </w:rPr>
              <w:t xml:space="preserve"> </w:t>
            </w:r>
          </w:p>
        </w:tc>
        <w:tc>
          <w:tcPr>
            <w:tcW w:w="1195" w:type="dxa"/>
          </w:tcPr>
          <w:p w14:paraId="3AD2D2C3" w14:textId="66730380" w:rsidR="0090639A" w:rsidRPr="00E346DE" w:rsidRDefault="00324C11">
            <w:pPr>
              <w:spacing w:after="0" w:line="259" w:lineRule="auto"/>
              <w:ind w:left="0" w:right="0" w:firstLine="0"/>
              <w:jc w:val="left"/>
              <w:rPr>
                <w:rFonts w:asciiTheme="minorHAnsi" w:hAnsiTheme="minorHAnsi"/>
              </w:rPr>
            </w:pPr>
            <w:r w:rsidRPr="00E346DE">
              <w:rPr>
                <w:rFonts w:asciiTheme="minorHAnsi" w:hAnsiTheme="minorHAnsi"/>
              </w:rPr>
              <w:t>7,039</w:t>
            </w:r>
            <w:r w:rsidR="0090639A" w:rsidRPr="00E346DE">
              <w:rPr>
                <w:rFonts w:asciiTheme="minorHAnsi" w:hAnsiTheme="minorHAnsi"/>
              </w:rPr>
              <w:t xml:space="preserve"> </w:t>
            </w:r>
          </w:p>
        </w:tc>
        <w:tc>
          <w:tcPr>
            <w:tcW w:w="1234" w:type="dxa"/>
          </w:tcPr>
          <w:p w14:paraId="44EC52B7" w14:textId="33587ABF" w:rsidR="0090639A" w:rsidRPr="00E346DE" w:rsidRDefault="00324C11">
            <w:pPr>
              <w:spacing w:after="0" w:line="259" w:lineRule="auto"/>
              <w:ind w:left="3" w:right="0" w:firstLine="0"/>
              <w:jc w:val="center"/>
              <w:rPr>
                <w:rFonts w:asciiTheme="minorHAnsi" w:hAnsiTheme="minorHAnsi"/>
              </w:rPr>
            </w:pPr>
            <w:r w:rsidRPr="00E346DE">
              <w:rPr>
                <w:rFonts w:asciiTheme="minorHAnsi" w:hAnsiTheme="minorHAnsi"/>
              </w:rPr>
              <w:t>10,266</w:t>
            </w:r>
            <w:r w:rsidR="0090639A" w:rsidRPr="00E346DE">
              <w:rPr>
                <w:rFonts w:asciiTheme="minorHAnsi" w:hAnsiTheme="minorHAnsi"/>
              </w:rPr>
              <w:t xml:space="preserve"> </w:t>
            </w:r>
          </w:p>
        </w:tc>
        <w:tc>
          <w:tcPr>
            <w:tcW w:w="1236" w:type="dxa"/>
          </w:tcPr>
          <w:p w14:paraId="392E0215" w14:textId="45D1708A" w:rsidR="0090639A" w:rsidRPr="00E346DE" w:rsidRDefault="00324C11">
            <w:pPr>
              <w:spacing w:after="0" w:line="259" w:lineRule="auto"/>
              <w:ind w:left="9" w:right="0" w:firstLine="0"/>
              <w:jc w:val="center"/>
              <w:rPr>
                <w:rFonts w:asciiTheme="minorHAnsi" w:hAnsiTheme="minorHAnsi"/>
              </w:rPr>
            </w:pPr>
            <w:r w:rsidRPr="00E346DE">
              <w:rPr>
                <w:rFonts w:asciiTheme="minorHAnsi" w:hAnsiTheme="minorHAnsi"/>
              </w:rPr>
              <w:t>16,112</w:t>
            </w:r>
            <w:r w:rsidR="0090639A" w:rsidRPr="00E346DE">
              <w:rPr>
                <w:rFonts w:asciiTheme="minorHAnsi" w:hAnsiTheme="minorHAnsi"/>
              </w:rPr>
              <w:t xml:space="preserve"> </w:t>
            </w:r>
          </w:p>
        </w:tc>
        <w:tc>
          <w:tcPr>
            <w:tcW w:w="1632" w:type="dxa"/>
          </w:tcPr>
          <w:p w14:paraId="2C941B81" w14:textId="0E8FD9D8" w:rsidR="0090639A" w:rsidRPr="00E346DE" w:rsidRDefault="002B6302">
            <w:pPr>
              <w:spacing w:after="0" w:line="259" w:lineRule="auto"/>
              <w:ind w:left="0" w:right="0" w:firstLine="0"/>
              <w:jc w:val="center"/>
              <w:rPr>
                <w:rFonts w:asciiTheme="minorHAnsi" w:hAnsiTheme="minorHAnsi"/>
              </w:rPr>
            </w:pPr>
            <w:r w:rsidRPr="00E346DE">
              <w:rPr>
                <w:rFonts w:asciiTheme="minorHAnsi" w:hAnsiTheme="minorHAnsi"/>
              </w:rPr>
              <w:t>14152.11</w:t>
            </w:r>
          </w:p>
        </w:tc>
        <w:tc>
          <w:tcPr>
            <w:tcW w:w="2022" w:type="dxa"/>
          </w:tcPr>
          <w:p w14:paraId="3512C409" w14:textId="72406CA0" w:rsidR="0090639A" w:rsidRPr="00E346DE" w:rsidRDefault="0090639A">
            <w:pPr>
              <w:spacing w:after="0" w:line="259" w:lineRule="auto"/>
              <w:ind w:left="0" w:right="0" w:firstLine="0"/>
              <w:jc w:val="center"/>
              <w:rPr>
                <w:rFonts w:asciiTheme="minorHAnsi" w:hAnsiTheme="minorHAnsi"/>
              </w:rPr>
            </w:pPr>
            <w:r w:rsidRPr="00E346DE">
              <w:rPr>
                <w:rFonts w:asciiTheme="minorHAnsi" w:hAnsiTheme="minorHAnsi"/>
              </w:rPr>
              <w:t xml:space="preserve">30% Carbon emission reduction by 2030 </w:t>
            </w:r>
          </w:p>
        </w:tc>
      </w:tr>
    </w:tbl>
    <w:p w14:paraId="49C616AD" w14:textId="77777777" w:rsidR="00160D92" w:rsidRPr="00E346DE" w:rsidRDefault="006C63DB">
      <w:pPr>
        <w:spacing w:after="90" w:line="259" w:lineRule="auto"/>
        <w:ind w:left="0" w:right="0" w:firstLine="0"/>
        <w:jc w:val="left"/>
        <w:rPr>
          <w:rFonts w:asciiTheme="minorHAnsi" w:hAnsiTheme="minorHAnsi"/>
        </w:rPr>
      </w:pPr>
      <w:r w:rsidRPr="00E346DE">
        <w:rPr>
          <w:rFonts w:asciiTheme="minorHAnsi" w:hAnsiTheme="minorHAnsi"/>
          <w:sz w:val="11"/>
        </w:rPr>
        <w:t xml:space="preserve"> </w:t>
      </w:r>
    </w:p>
    <w:p w14:paraId="7D321094" w14:textId="77777777" w:rsidR="0065091F" w:rsidRPr="00E346DE" w:rsidRDefault="006C63DB" w:rsidP="00AE5870">
      <w:pPr>
        <w:spacing w:after="364" w:line="259" w:lineRule="auto"/>
        <w:ind w:left="0" w:right="0" w:firstLine="0"/>
        <w:jc w:val="left"/>
        <w:rPr>
          <w:rFonts w:asciiTheme="minorHAnsi" w:hAnsiTheme="minorHAnsi"/>
        </w:rPr>
      </w:pPr>
      <w:r w:rsidRPr="00E346DE">
        <w:rPr>
          <w:rFonts w:asciiTheme="minorHAnsi" w:hAnsiTheme="minorHAnsi"/>
          <w:sz w:val="2"/>
        </w:rPr>
        <w:t xml:space="preserve"> </w:t>
      </w:r>
    </w:p>
    <w:p w14:paraId="36194B94" w14:textId="436B0F2D" w:rsidR="00AE5870" w:rsidRPr="00E346DE" w:rsidRDefault="00AE5870" w:rsidP="0065091F">
      <w:pPr>
        <w:spacing w:after="364" w:line="259" w:lineRule="auto"/>
        <w:ind w:left="0" w:right="0" w:firstLine="0"/>
        <w:rPr>
          <w:rFonts w:asciiTheme="minorHAnsi" w:hAnsiTheme="minorHAnsi"/>
        </w:rPr>
      </w:pPr>
      <w:r w:rsidRPr="00E346DE">
        <w:rPr>
          <w:rFonts w:asciiTheme="minorHAnsi" w:hAnsiTheme="minorHAnsi"/>
        </w:rPr>
        <w:t>Since the 2024/2025 academic year, Cardiff Met has continued to deliver significant progress, including:</w:t>
      </w:r>
    </w:p>
    <w:p w14:paraId="03752D65" w14:textId="44E07D82" w:rsidR="00AE5870" w:rsidRPr="00E346DE" w:rsidRDefault="00AE5870" w:rsidP="0065091F">
      <w:pPr>
        <w:pStyle w:val="ListParagraph"/>
        <w:numPr>
          <w:ilvl w:val="0"/>
          <w:numId w:val="2"/>
        </w:numPr>
        <w:spacing w:after="364" w:line="259" w:lineRule="auto"/>
        <w:ind w:right="0"/>
        <w:rPr>
          <w:rFonts w:asciiTheme="minorHAnsi" w:hAnsiTheme="minorHAnsi"/>
        </w:rPr>
      </w:pPr>
      <w:r w:rsidRPr="00E346DE">
        <w:rPr>
          <w:rFonts w:asciiTheme="minorHAnsi" w:hAnsiTheme="minorHAnsi"/>
        </w:rPr>
        <w:t>Successful completion of the ISO14001 audit in November 2025 with no nonconformities.</w:t>
      </w:r>
    </w:p>
    <w:p w14:paraId="415B3589" w14:textId="583929DA" w:rsidR="00AE5870" w:rsidRPr="00E346DE" w:rsidRDefault="00AE5870" w:rsidP="0065091F">
      <w:pPr>
        <w:pStyle w:val="ListParagraph"/>
        <w:numPr>
          <w:ilvl w:val="0"/>
          <w:numId w:val="2"/>
        </w:numPr>
        <w:spacing w:after="364" w:line="259" w:lineRule="auto"/>
        <w:ind w:right="0"/>
        <w:rPr>
          <w:rFonts w:asciiTheme="minorHAnsi" w:hAnsiTheme="minorHAnsi"/>
        </w:rPr>
      </w:pPr>
      <w:r w:rsidRPr="00E346DE">
        <w:rPr>
          <w:rFonts w:asciiTheme="minorHAnsi" w:hAnsiTheme="minorHAnsi"/>
        </w:rPr>
        <w:t>Significant reductions in utility consumption during 2025/26 compared to 2024/25, reflecting the impact of resource efficiency initiatives. Gas consumption decreased by 30.3%, from 6.13 million kWh in 2024/25 to 4.27 million kWh in 2025/26, while electricity consumption fell by 5.1%, from 4.42 million kWh to 4.20 million kWh. Water usage also reduced substantially by 18.7%, from 63,438 m³ in 2024/25 to 51,586 m³ in 2025/26. These reductions demonstrate the effectiveness of the University's continued efforts to improve operational efficiency, promote sustainable behaviours, and reduce its environmental impact. · Securing £24.2 million through two rounds of the Welsh Government’s Digarbon Scheme to accelerate decarbonisation and support Wales’ net zero ambitions. This has allowed for planned investment in low-carbon heating systems, solar energy expansion, energy-efficient lighting, building upgrades, and battery storage to reduce reliance on the grid.</w:t>
      </w:r>
    </w:p>
    <w:p w14:paraId="6321AB4C" w14:textId="750E1EC5" w:rsidR="00AE5870" w:rsidRPr="00E346DE" w:rsidRDefault="00AE5870" w:rsidP="001463C6">
      <w:pPr>
        <w:pStyle w:val="ListParagraph"/>
        <w:numPr>
          <w:ilvl w:val="0"/>
          <w:numId w:val="2"/>
        </w:numPr>
        <w:spacing w:after="364" w:line="259" w:lineRule="auto"/>
        <w:ind w:right="0"/>
        <w:rPr>
          <w:rFonts w:asciiTheme="minorHAnsi" w:hAnsiTheme="minorHAnsi"/>
        </w:rPr>
      </w:pPr>
      <w:r w:rsidRPr="00E346DE">
        <w:rPr>
          <w:rFonts w:asciiTheme="minorHAnsi" w:hAnsiTheme="minorHAnsi"/>
        </w:rPr>
        <w:lastRenderedPageBreak/>
        <w:t xml:space="preserve">The Climate Action Team successfully bid for an Electric Vehicle Charging Infrastructure (EVCI) grant, awarded by the Welsh Government Energy Service. The total awarded was almost £87,000. The grant covered 90% of the total cost of upgrading two existing EV chargers to rapid 50kw/h chargers and the installation of new fast 22kw/h chargers </w:t>
      </w:r>
      <w:r w:rsidR="0065091F" w:rsidRPr="00E346DE">
        <w:rPr>
          <w:rFonts w:asciiTheme="minorHAnsi" w:hAnsiTheme="minorHAnsi"/>
          <w:noProof/>
          <w:sz w:val="2"/>
        </w:rPr>
        <w:drawing>
          <wp:anchor distT="0" distB="0" distL="114300" distR="114300" simplePos="0" relativeHeight="251660288" behindDoc="1" locked="0" layoutInCell="0" allowOverlap="1" wp14:anchorId="46794874" wp14:editId="4491393C">
            <wp:simplePos x="0" y="0"/>
            <wp:positionH relativeFrom="page">
              <wp:align>left</wp:align>
            </wp:positionH>
            <wp:positionV relativeFrom="page">
              <wp:align>top</wp:align>
            </wp:positionV>
            <wp:extent cx="7575381" cy="10701315"/>
            <wp:effectExtent l="0" t="0" r="6985" b="5080"/>
            <wp:wrapNone/>
            <wp:docPr id="1569678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03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381" cy="10701315"/>
                    </a:xfrm>
                    <a:prstGeom prst="rect">
                      <a:avLst/>
                    </a:prstGeom>
                    <a:noFill/>
                  </pic:spPr>
                </pic:pic>
              </a:graphicData>
            </a:graphic>
            <wp14:sizeRelH relativeFrom="page">
              <wp14:pctWidth>0</wp14:pctWidth>
            </wp14:sizeRelH>
            <wp14:sizeRelV relativeFrom="page">
              <wp14:pctHeight>0</wp14:pctHeight>
            </wp14:sizeRelV>
          </wp:anchor>
        </w:drawing>
      </w:r>
      <w:r w:rsidRPr="00E346DE">
        <w:rPr>
          <w:rFonts w:asciiTheme="minorHAnsi" w:hAnsiTheme="minorHAnsi"/>
        </w:rPr>
        <w:t>at our administration and accommodation sites. The remaining 10% cost was covered by the Estates and Environment team.</w:t>
      </w:r>
    </w:p>
    <w:p w14:paraId="1DB57D58" w14:textId="16F20E77" w:rsidR="00AE5870" w:rsidRPr="00E346DE" w:rsidRDefault="00AE5870" w:rsidP="001463C6">
      <w:pPr>
        <w:pStyle w:val="ListParagraph"/>
        <w:numPr>
          <w:ilvl w:val="0"/>
          <w:numId w:val="2"/>
        </w:numPr>
        <w:spacing w:after="364" w:line="259" w:lineRule="auto"/>
        <w:ind w:right="0"/>
        <w:rPr>
          <w:rFonts w:asciiTheme="minorHAnsi" w:hAnsiTheme="minorHAnsi"/>
        </w:rPr>
      </w:pPr>
      <w:r w:rsidRPr="00E346DE">
        <w:rPr>
          <w:rFonts w:asciiTheme="minorHAnsi" w:hAnsiTheme="minorHAnsi"/>
        </w:rPr>
        <w:t>Cardiff Met has kickstarted the planning of the Queenswood woodland restoration project at Cyncoed Campus, focusing on improving biodiversity through native tree planting, habitat enhancement, and long-term ecological management to support natural regeneration and</w:t>
      </w:r>
    </w:p>
    <w:p w14:paraId="569660AD" w14:textId="227EB3AE" w:rsidR="00AE5870" w:rsidRPr="00E346DE" w:rsidRDefault="00AE5870" w:rsidP="001463C6">
      <w:pPr>
        <w:pStyle w:val="ListParagraph"/>
        <w:numPr>
          <w:ilvl w:val="0"/>
          <w:numId w:val="2"/>
        </w:numPr>
        <w:spacing w:after="364" w:line="259" w:lineRule="auto"/>
        <w:ind w:right="0"/>
        <w:rPr>
          <w:rFonts w:asciiTheme="minorHAnsi" w:hAnsiTheme="minorHAnsi"/>
        </w:rPr>
      </w:pPr>
      <w:r w:rsidRPr="00E346DE">
        <w:rPr>
          <w:rFonts w:asciiTheme="minorHAnsi" w:hAnsiTheme="minorHAnsi"/>
        </w:rPr>
        <w:t>strengthen the resilience of the woodland ecosystem. This work will be accompanied by the University’s commitment to achieving Nature Friendly Grounds Certification by 2028, reflecting a wider long-term strategy to enhance biodiversity and protect habitats.</w:t>
      </w:r>
    </w:p>
    <w:p w14:paraId="6207A02B" w14:textId="6088CABA" w:rsidR="00AE5870" w:rsidRPr="00E346DE" w:rsidRDefault="00AE5870" w:rsidP="001463C6">
      <w:pPr>
        <w:spacing w:after="364" w:line="259" w:lineRule="auto"/>
        <w:ind w:left="0" w:right="0" w:firstLine="0"/>
        <w:rPr>
          <w:rFonts w:asciiTheme="minorHAnsi" w:hAnsiTheme="minorHAnsi"/>
          <w:b/>
          <w:bCs/>
        </w:rPr>
      </w:pPr>
      <w:r w:rsidRPr="00E346DE">
        <w:rPr>
          <w:rFonts w:asciiTheme="minorHAnsi" w:hAnsiTheme="minorHAnsi"/>
          <w:b/>
          <w:bCs/>
        </w:rPr>
        <w:t>Halve the Half Initiative</w:t>
      </w:r>
    </w:p>
    <w:p w14:paraId="59986ADC" w14:textId="7589AFBE" w:rsidR="00AE5870" w:rsidRDefault="00AE5870" w:rsidP="001463C6">
      <w:pPr>
        <w:spacing w:after="364" w:line="259" w:lineRule="auto"/>
        <w:ind w:left="0" w:right="0" w:firstLine="0"/>
        <w:rPr>
          <w:rFonts w:asciiTheme="minorHAnsi" w:hAnsiTheme="minorHAnsi"/>
        </w:rPr>
      </w:pPr>
      <w:r w:rsidRPr="00E346DE">
        <w:rPr>
          <w:rFonts w:asciiTheme="minorHAnsi" w:hAnsiTheme="minorHAnsi"/>
        </w:rPr>
        <w:t xml:space="preserve">A major initiative has been “Halve the Half” a data-driven energy reduction project demonstrating that significant carbon and cost savings can be achieved without major capital investment. By analysing half-hourly energy data, the University identified that a substantial proportion of energy use occurred outside occupied hours. Adjustments to building operations have since reduced unnecessary consumption, delivering major savings in energy, water, and emissions. By December 2025, the initiative had achieved a 33% reduction in gas, 10% reduction in electricity, and 20.1% reduction in water use compared to 2023 baselines, with projected savings exceeding £1.8 million over two years. The University is leading a data-sharing collaboration with 11 universities and an NHS Trust involved in the pilot, to develop a benchmark for out-of-hours energy consumption in higher education buildings, supporting shared analysis and sector-wide learning to create impact beyond the institution. The initiative is supported by </w:t>
      </w:r>
      <w:proofErr w:type="gramStart"/>
      <w:r w:rsidRPr="00E346DE">
        <w:rPr>
          <w:rFonts w:asciiTheme="minorHAnsi" w:hAnsiTheme="minorHAnsi"/>
        </w:rPr>
        <w:t>a number of</w:t>
      </w:r>
      <w:proofErr w:type="gramEnd"/>
      <w:r w:rsidRPr="00E346DE">
        <w:rPr>
          <w:rFonts w:asciiTheme="minorHAnsi" w:hAnsiTheme="minorHAnsi"/>
        </w:rPr>
        <w:t xml:space="preserve"> professional institutions including through financial support from The Welsh Government Energy Service and the Energy Consortium, and engagement with the Association of University Directors of Estates, the Chartered Institute of Building, the Chartered Institute of Building Services Engineers. OFWAT. Our </w:t>
      </w:r>
      <w:hyperlink r:id="rId11" w:history="1">
        <w:r w:rsidRPr="00ED080F">
          <w:rPr>
            <w:rStyle w:val="Hyperlink"/>
            <w:rFonts w:asciiTheme="minorHAnsi" w:hAnsiTheme="minorHAnsi"/>
          </w:rPr>
          <w:t>published case study</w:t>
        </w:r>
      </w:hyperlink>
      <w:r w:rsidRPr="00E346DE">
        <w:rPr>
          <w:rFonts w:asciiTheme="minorHAnsi" w:hAnsiTheme="minorHAnsi"/>
        </w:rPr>
        <w:t xml:space="preserve"> shares this approach to support wider sector learning on efficient space and energy management, and our case study rethinking the approach to addressing the building performance gap forms a case study in </w:t>
      </w:r>
      <w:hyperlink r:id="rId12" w:history="1">
        <w:r w:rsidRPr="004471E3">
          <w:rPr>
            <w:rStyle w:val="Hyperlink"/>
            <w:rFonts w:asciiTheme="minorHAnsi" w:hAnsiTheme="minorHAnsi"/>
          </w:rPr>
          <w:t>CIBSE’s Technical Memorandum 39 Metering and Monitoring.</w:t>
        </w:r>
      </w:hyperlink>
    </w:p>
    <w:p w14:paraId="74A87AE3" w14:textId="77777777" w:rsidR="00F73929" w:rsidRDefault="00F73929" w:rsidP="001463C6">
      <w:pPr>
        <w:spacing w:after="364" w:line="259" w:lineRule="auto"/>
        <w:ind w:left="0" w:right="0" w:firstLine="0"/>
        <w:rPr>
          <w:rFonts w:asciiTheme="minorHAnsi" w:hAnsiTheme="minorHAnsi"/>
        </w:rPr>
      </w:pPr>
    </w:p>
    <w:p w14:paraId="7341517D" w14:textId="77777777" w:rsidR="00F73929" w:rsidRPr="00E346DE" w:rsidRDefault="00F73929" w:rsidP="001463C6">
      <w:pPr>
        <w:spacing w:after="364" w:line="259" w:lineRule="auto"/>
        <w:ind w:left="0" w:right="0" w:firstLine="0"/>
        <w:rPr>
          <w:rFonts w:asciiTheme="minorHAnsi" w:hAnsiTheme="minorHAnsi"/>
        </w:rPr>
      </w:pPr>
    </w:p>
    <w:p w14:paraId="25497871" w14:textId="035CE903" w:rsidR="00547D50" w:rsidRPr="00E346DE" w:rsidRDefault="00AE5870" w:rsidP="001463C6">
      <w:pPr>
        <w:spacing w:after="364" w:line="259" w:lineRule="auto"/>
        <w:ind w:left="0" w:right="0" w:firstLine="0"/>
        <w:rPr>
          <w:rFonts w:asciiTheme="minorHAnsi" w:hAnsiTheme="minorHAnsi"/>
          <w:b/>
          <w:bCs/>
        </w:rPr>
      </w:pPr>
      <w:r w:rsidRPr="00E346DE">
        <w:rPr>
          <w:rFonts w:asciiTheme="minorHAnsi" w:hAnsiTheme="minorHAnsi"/>
          <w:b/>
          <w:bCs/>
        </w:rPr>
        <w:lastRenderedPageBreak/>
        <w:t>Research &amp; Policy Impact</w:t>
      </w:r>
      <w:r w:rsidR="00547D50" w:rsidRPr="00E346DE">
        <w:rPr>
          <w:rFonts w:asciiTheme="minorHAnsi" w:hAnsiTheme="minorHAnsi"/>
          <w:b/>
          <w:bCs/>
        </w:rPr>
        <w:t xml:space="preserve"> </w:t>
      </w:r>
    </w:p>
    <w:p w14:paraId="3EADBB66" w14:textId="69078A8E" w:rsidR="00AE5870" w:rsidRPr="00E346DE" w:rsidRDefault="00AE5870" w:rsidP="001463C6">
      <w:pPr>
        <w:spacing w:after="364" w:line="259" w:lineRule="auto"/>
        <w:ind w:left="0" w:right="0" w:firstLine="0"/>
        <w:rPr>
          <w:rFonts w:asciiTheme="minorHAnsi" w:hAnsiTheme="minorHAnsi"/>
          <w:b/>
          <w:bCs/>
        </w:rPr>
      </w:pPr>
      <w:r w:rsidRPr="00E346DE">
        <w:rPr>
          <w:rFonts w:asciiTheme="minorHAnsi" w:hAnsiTheme="minorHAnsi"/>
        </w:rPr>
        <w:t xml:space="preserve">Cardiff Met’s research continues to influence national and international sustainability thinking. This includes contributions to </w:t>
      </w:r>
      <w:hyperlink r:id="rId13" w:history="1">
        <w:r w:rsidRPr="004471E3">
          <w:rPr>
            <w:rStyle w:val="Hyperlink"/>
            <w:rFonts w:asciiTheme="minorHAnsi" w:hAnsiTheme="minorHAnsi"/>
          </w:rPr>
          <w:t>WHO policy guidance</w:t>
        </w:r>
      </w:hyperlink>
      <w:r w:rsidRPr="00E346DE">
        <w:rPr>
          <w:rFonts w:asciiTheme="minorHAnsi" w:hAnsiTheme="minorHAnsi"/>
        </w:rPr>
        <w:t xml:space="preserve"> on building healthier, fairer and more sustainable “wellbeing societies”, which emphasise equity, environmental change, and wellbeing beyond GDP. Other research explores </w:t>
      </w:r>
      <w:hyperlink r:id="rId14" w:history="1">
        <w:r w:rsidRPr="000474A2">
          <w:rPr>
            <w:rStyle w:val="Hyperlink"/>
            <w:rFonts w:asciiTheme="minorHAnsi" w:hAnsiTheme="minorHAnsi"/>
          </w:rPr>
          <w:t>climate communication</w:t>
        </w:r>
      </w:hyperlink>
      <w:r w:rsidRPr="00E346DE">
        <w:rPr>
          <w:rFonts w:asciiTheme="minorHAnsi" w:hAnsiTheme="minorHAnsi"/>
        </w:rPr>
        <w:t xml:space="preserve">, highlighting the unintended effects of fear-based messaging, and advancing understanding of </w:t>
      </w:r>
      <w:hyperlink r:id="rId15" w:history="1">
        <w:r w:rsidRPr="000474A2">
          <w:rPr>
            <w:rStyle w:val="Hyperlink"/>
            <w:rFonts w:asciiTheme="minorHAnsi" w:hAnsiTheme="minorHAnsi"/>
          </w:rPr>
          <w:t>sustainable development, heritage, and place-based climate impacts.</w:t>
        </w:r>
      </w:hyperlink>
      <w:r w:rsidR="0065091F" w:rsidRPr="00E346DE">
        <w:rPr>
          <w:rFonts w:asciiTheme="minorHAnsi" w:hAnsiTheme="minorHAnsi"/>
          <w:noProof/>
          <w:sz w:val="2"/>
        </w:rPr>
        <w:t xml:space="preserve"> </w:t>
      </w:r>
    </w:p>
    <w:p w14:paraId="29FB0349" w14:textId="0B43BB55" w:rsidR="00AE5870" w:rsidRPr="00E346DE" w:rsidRDefault="0065091F" w:rsidP="001463C6">
      <w:pPr>
        <w:spacing w:after="364" w:line="259" w:lineRule="auto"/>
        <w:ind w:left="0" w:right="0" w:firstLine="0"/>
        <w:rPr>
          <w:rFonts w:asciiTheme="minorHAnsi" w:hAnsiTheme="minorHAnsi"/>
          <w:b/>
          <w:bCs/>
        </w:rPr>
      </w:pPr>
      <w:r w:rsidRPr="00E346DE">
        <w:rPr>
          <w:rFonts w:asciiTheme="minorHAnsi" w:hAnsiTheme="minorHAnsi"/>
          <w:noProof/>
          <w:sz w:val="2"/>
        </w:rPr>
        <w:drawing>
          <wp:anchor distT="0" distB="0" distL="114300" distR="114300" simplePos="0" relativeHeight="251662336" behindDoc="1" locked="0" layoutInCell="0" allowOverlap="1" wp14:anchorId="7B220D5A" wp14:editId="5B115FB3">
            <wp:simplePos x="0" y="0"/>
            <wp:positionH relativeFrom="page">
              <wp:align>left</wp:align>
            </wp:positionH>
            <wp:positionV relativeFrom="page">
              <wp:align>top</wp:align>
            </wp:positionV>
            <wp:extent cx="7575381" cy="10701315"/>
            <wp:effectExtent l="0" t="0" r="6985" b="5080"/>
            <wp:wrapNone/>
            <wp:docPr id="1835248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03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381" cy="10701315"/>
                    </a:xfrm>
                    <a:prstGeom prst="rect">
                      <a:avLst/>
                    </a:prstGeom>
                    <a:noFill/>
                  </pic:spPr>
                </pic:pic>
              </a:graphicData>
            </a:graphic>
            <wp14:sizeRelH relativeFrom="page">
              <wp14:pctWidth>0</wp14:pctWidth>
            </wp14:sizeRelH>
            <wp14:sizeRelV relativeFrom="page">
              <wp14:pctHeight>0</wp14:pctHeight>
            </wp14:sizeRelV>
          </wp:anchor>
        </w:drawing>
      </w:r>
      <w:r w:rsidR="00AE5870" w:rsidRPr="00E346DE">
        <w:rPr>
          <w:rFonts w:asciiTheme="minorHAnsi" w:hAnsiTheme="minorHAnsi"/>
          <w:b/>
          <w:bCs/>
        </w:rPr>
        <w:t>Awards &amp; Recognition for Sustainability</w:t>
      </w:r>
    </w:p>
    <w:p w14:paraId="1DB9C916" w14:textId="3F09E23D" w:rsidR="00AE5870" w:rsidRPr="00E346DE" w:rsidRDefault="00AE5870" w:rsidP="001463C6">
      <w:pPr>
        <w:pStyle w:val="ListParagraph"/>
        <w:numPr>
          <w:ilvl w:val="0"/>
          <w:numId w:val="3"/>
        </w:numPr>
        <w:spacing w:after="364" w:line="259" w:lineRule="auto"/>
        <w:ind w:right="0"/>
        <w:rPr>
          <w:rFonts w:asciiTheme="minorHAnsi" w:hAnsiTheme="minorHAnsi"/>
        </w:rPr>
      </w:pPr>
      <w:r w:rsidRPr="00F73929">
        <w:rPr>
          <w:rFonts w:asciiTheme="minorHAnsi" w:hAnsiTheme="minorHAnsi"/>
          <w:b/>
          <w:bCs/>
        </w:rPr>
        <w:t>People &amp; Planet University League (2025/2026):</w:t>
      </w:r>
      <w:r w:rsidRPr="00E346DE">
        <w:rPr>
          <w:rFonts w:asciiTheme="minorHAnsi" w:hAnsiTheme="minorHAnsi"/>
        </w:rPr>
        <w:t xml:space="preserve"> Cardiff Metropolitan University is recognised as a sustainability leader, ranking 1st in Wales for five consecutive years and 10th in the UK in the People &amp; Planet University League 2025/2026, the only comprehensive and independent student-led university sustainability ranking in the UK.</w:t>
      </w:r>
    </w:p>
    <w:p w14:paraId="7B6401FE" w14:textId="1B32CE04" w:rsidR="00AE5870" w:rsidRPr="00E346DE" w:rsidRDefault="00AE5870" w:rsidP="001463C6">
      <w:pPr>
        <w:pStyle w:val="ListParagraph"/>
        <w:numPr>
          <w:ilvl w:val="0"/>
          <w:numId w:val="3"/>
        </w:numPr>
        <w:spacing w:after="364" w:line="259" w:lineRule="auto"/>
        <w:ind w:right="0"/>
        <w:rPr>
          <w:rFonts w:asciiTheme="minorHAnsi" w:hAnsiTheme="minorHAnsi"/>
        </w:rPr>
      </w:pPr>
      <w:r w:rsidRPr="00F73929">
        <w:rPr>
          <w:rFonts w:asciiTheme="minorHAnsi" w:hAnsiTheme="minorHAnsi"/>
          <w:b/>
          <w:bCs/>
        </w:rPr>
        <w:t>AUDE Awards (2025):</w:t>
      </w:r>
      <w:r w:rsidRPr="00E346DE">
        <w:rPr>
          <w:rFonts w:asciiTheme="minorHAnsi" w:hAnsiTheme="minorHAnsi"/>
        </w:rPr>
        <w:t xml:space="preserve"> Awarded Silver in the Sustainability Impact Initiative category for the SMART estate initiative.</w:t>
      </w:r>
    </w:p>
    <w:p w14:paraId="46AD6589" w14:textId="57C72C21" w:rsidR="00AE5870" w:rsidRPr="00E346DE" w:rsidRDefault="00AE5870" w:rsidP="001463C6">
      <w:pPr>
        <w:pStyle w:val="ListParagraph"/>
        <w:numPr>
          <w:ilvl w:val="0"/>
          <w:numId w:val="3"/>
        </w:numPr>
        <w:spacing w:after="364" w:line="259" w:lineRule="auto"/>
        <w:ind w:right="0"/>
        <w:rPr>
          <w:rFonts w:asciiTheme="minorHAnsi" w:hAnsiTheme="minorHAnsi"/>
        </w:rPr>
      </w:pPr>
      <w:proofErr w:type="spellStart"/>
      <w:r w:rsidRPr="00F73929">
        <w:rPr>
          <w:rFonts w:asciiTheme="minorHAnsi" w:hAnsiTheme="minorHAnsi"/>
          <w:b/>
          <w:bCs/>
        </w:rPr>
        <w:t>TechFest</w:t>
      </w:r>
      <w:proofErr w:type="spellEnd"/>
      <w:r w:rsidRPr="00F73929">
        <w:rPr>
          <w:rFonts w:asciiTheme="minorHAnsi" w:hAnsiTheme="minorHAnsi"/>
          <w:b/>
          <w:bCs/>
        </w:rPr>
        <w:t xml:space="preserve"> - Best Use of Technology (2025):</w:t>
      </w:r>
      <w:r w:rsidRPr="00E346DE">
        <w:rPr>
          <w:rFonts w:asciiTheme="minorHAnsi" w:hAnsiTheme="minorHAnsi"/>
        </w:rPr>
        <w:t xml:space="preserve"> Awarded for Carbon Reduction in Construction and Management for the “Halve the Half” project, recognising its innovative use of data and technology to drive large-scale carbon and cost reductions.</w:t>
      </w:r>
    </w:p>
    <w:p w14:paraId="051D00C8" w14:textId="4DF2CDBE" w:rsidR="00AE5870" w:rsidRPr="00E346DE" w:rsidRDefault="00AE5870" w:rsidP="001463C6">
      <w:pPr>
        <w:pStyle w:val="ListParagraph"/>
        <w:numPr>
          <w:ilvl w:val="0"/>
          <w:numId w:val="3"/>
        </w:numPr>
        <w:spacing w:after="364" w:line="259" w:lineRule="auto"/>
        <w:ind w:right="0"/>
        <w:rPr>
          <w:rFonts w:asciiTheme="minorHAnsi" w:hAnsiTheme="minorHAnsi"/>
        </w:rPr>
      </w:pPr>
      <w:r w:rsidRPr="00E346DE">
        <w:rPr>
          <w:rFonts w:asciiTheme="minorHAnsi" w:hAnsiTheme="minorHAnsi"/>
        </w:rPr>
        <w:t xml:space="preserve">Cardiff Met was also a major standout at the </w:t>
      </w:r>
      <w:r w:rsidRPr="00F73929">
        <w:rPr>
          <w:rFonts w:asciiTheme="minorHAnsi" w:hAnsiTheme="minorHAnsi"/>
          <w:b/>
          <w:bCs/>
        </w:rPr>
        <w:t>2026 Digital Construction Awards:</w:t>
      </w:r>
      <w:r w:rsidRPr="00E346DE">
        <w:rPr>
          <w:rFonts w:asciiTheme="minorHAnsi" w:hAnsiTheme="minorHAnsi"/>
        </w:rPr>
        <w:t xml:space="preserve"> The university secured multiple nominations across the shortlist and ultimately won the Delivering Sustainability with Digital Innovation category for the “Halve the Half” initiative.</w:t>
      </w:r>
    </w:p>
    <w:p w14:paraId="44B39B20" w14:textId="47812837" w:rsidR="00AE5870" w:rsidRPr="00E346DE" w:rsidRDefault="00AE5870" w:rsidP="001463C6">
      <w:pPr>
        <w:pStyle w:val="ListParagraph"/>
        <w:numPr>
          <w:ilvl w:val="0"/>
          <w:numId w:val="3"/>
        </w:numPr>
        <w:spacing w:after="364" w:line="259" w:lineRule="auto"/>
        <w:ind w:right="0"/>
        <w:rPr>
          <w:rFonts w:asciiTheme="minorHAnsi" w:hAnsiTheme="minorHAnsi"/>
        </w:rPr>
      </w:pPr>
      <w:r w:rsidRPr="00F73929">
        <w:rPr>
          <w:rFonts w:asciiTheme="minorHAnsi" w:hAnsiTheme="minorHAnsi"/>
          <w:b/>
          <w:bCs/>
        </w:rPr>
        <w:t>Times Higher Education (THE) Awards (2025):</w:t>
      </w:r>
      <w:r w:rsidRPr="00E346DE">
        <w:rPr>
          <w:rFonts w:asciiTheme="minorHAnsi" w:hAnsiTheme="minorHAnsi"/>
        </w:rPr>
        <w:t xml:space="preserve"> Winner of the prestigious Outstanding Contribution to Environmental Leadership award for its innovative “Halve the Half” building analytics initiative, which significantly reduced energy waste across campus.</w:t>
      </w:r>
    </w:p>
    <w:p w14:paraId="3952E362" w14:textId="101C3C99" w:rsidR="00AE5870" w:rsidRPr="00E346DE" w:rsidRDefault="00AE5870" w:rsidP="001463C6">
      <w:pPr>
        <w:pStyle w:val="ListParagraph"/>
        <w:numPr>
          <w:ilvl w:val="0"/>
          <w:numId w:val="3"/>
        </w:numPr>
        <w:spacing w:after="364" w:line="259" w:lineRule="auto"/>
        <w:ind w:right="0"/>
        <w:rPr>
          <w:rFonts w:asciiTheme="minorHAnsi" w:hAnsiTheme="minorHAnsi"/>
        </w:rPr>
      </w:pPr>
      <w:r w:rsidRPr="00F73929">
        <w:rPr>
          <w:rFonts w:asciiTheme="minorHAnsi" w:hAnsiTheme="minorHAnsi"/>
          <w:b/>
          <w:bCs/>
        </w:rPr>
        <w:t>AUDE Awards (2026):</w:t>
      </w:r>
      <w:r w:rsidRPr="00E346DE">
        <w:rPr>
          <w:rFonts w:asciiTheme="minorHAnsi" w:hAnsiTheme="minorHAnsi"/>
        </w:rPr>
        <w:t xml:space="preserve"> Cardiff Met’s Sustainability Engagement Officer received the Gold Award in the Emerging Talent category, recognising outstanding contribution and leadership in the sector.</w:t>
      </w:r>
    </w:p>
    <w:p w14:paraId="3BE9E864" w14:textId="51E24978" w:rsidR="00AE5870" w:rsidRDefault="00AE5870" w:rsidP="001463C6">
      <w:pPr>
        <w:pStyle w:val="ListParagraph"/>
        <w:numPr>
          <w:ilvl w:val="0"/>
          <w:numId w:val="3"/>
        </w:numPr>
        <w:spacing w:after="364" w:line="259" w:lineRule="auto"/>
        <w:ind w:right="0"/>
        <w:rPr>
          <w:rFonts w:asciiTheme="minorHAnsi" w:hAnsiTheme="minorHAnsi"/>
        </w:rPr>
      </w:pPr>
      <w:r w:rsidRPr="00F73929">
        <w:rPr>
          <w:rFonts w:asciiTheme="minorHAnsi" w:hAnsiTheme="minorHAnsi"/>
          <w:b/>
          <w:bCs/>
        </w:rPr>
        <w:t>Fairtrade University Award (2026):</w:t>
      </w:r>
      <w:r w:rsidRPr="00E346DE">
        <w:rPr>
          <w:rFonts w:asciiTheme="minorHAnsi" w:hAnsiTheme="minorHAnsi"/>
        </w:rPr>
        <w:t xml:space="preserve"> Achieved its highest-ever score, receiving a two-star Fairtrade University Award in recognition of excellence in ethical sourcing, social justice, and responsible consumption.</w:t>
      </w:r>
    </w:p>
    <w:p w14:paraId="18C4B144" w14:textId="77777777" w:rsidR="00F73929" w:rsidRDefault="00F73929" w:rsidP="00F73929">
      <w:pPr>
        <w:spacing w:after="364" w:line="259" w:lineRule="auto"/>
        <w:ind w:right="0"/>
        <w:rPr>
          <w:rFonts w:asciiTheme="minorHAnsi" w:hAnsiTheme="minorHAnsi"/>
        </w:rPr>
      </w:pPr>
    </w:p>
    <w:p w14:paraId="01B95405" w14:textId="77777777" w:rsidR="00F73929" w:rsidRDefault="00F73929" w:rsidP="00F73929">
      <w:pPr>
        <w:spacing w:after="364" w:line="259" w:lineRule="auto"/>
        <w:ind w:right="0"/>
        <w:rPr>
          <w:rFonts w:asciiTheme="minorHAnsi" w:hAnsiTheme="minorHAnsi"/>
        </w:rPr>
      </w:pPr>
    </w:p>
    <w:p w14:paraId="463239D4" w14:textId="77777777" w:rsidR="00F73929" w:rsidRPr="00F73929" w:rsidRDefault="00F73929" w:rsidP="00F73929">
      <w:pPr>
        <w:spacing w:after="364" w:line="259" w:lineRule="auto"/>
        <w:ind w:right="0"/>
        <w:rPr>
          <w:rFonts w:asciiTheme="minorHAnsi" w:hAnsiTheme="minorHAnsi"/>
        </w:rPr>
      </w:pPr>
    </w:p>
    <w:p w14:paraId="2FD82171" w14:textId="77777777" w:rsidR="00547D50" w:rsidRPr="00E346DE" w:rsidRDefault="00AE5870" w:rsidP="001463C6">
      <w:pPr>
        <w:spacing w:after="364" w:line="259" w:lineRule="auto"/>
        <w:ind w:left="0" w:right="0" w:firstLine="0"/>
        <w:rPr>
          <w:rFonts w:asciiTheme="minorHAnsi" w:hAnsiTheme="minorHAnsi"/>
          <w:b/>
          <w:bCs/>
        </w:rPr>
      </w:pPr>
      <w:r w:rsidRPr="00E346DE">
        <w:rPr>
          <w:rFonts w:asciiTheme="minorHAnsi" w:hAnsiTheme="minorHAnsi"/>
          <w:b/>
          <w:bCs/>
        </w:rPr>
        <w:lastRenderedPageBreak/>
        <w:t>Engagement &amp; Community Action</w:t>
      </w:r>
    </w:p>
    <w:p w14:paraId="65E68BB1" w14:textId="70E22CA8" w:rsidR="00AE5870" w:rsidRDefault="00AE5870" w:rsidP="001463C6">
      <w:pPr>
        <w:spacing w:after="364" w:line="259" w:lineRule="auto"/>
        <w:ind w:left="0" w:right="0" w:firstLine="0"/>
        <w:rPr>
          <w:rFonts w:asciiTheme="minorHAnsi" w:hAnsiTheme="minorHAnsi"/>
        </w:rPr>
      </w:pPr>
      <w:r w:rsidRPr="00E346DE">
        <w:rPr>
          <w:rFonts w:asciiTheme="minorHAnsi" w:hAnsiTheme="minorHAnsi"/>
        </w:rPr>
        <w:t>Sustainability engagement at Cardiff Met brings together staff and students through events, campaigns, and collaborative initiatives that encourage shared learning and action. Annual activities include repair cafés, litter picks, and community events. A key highlight was Go Green Week (November 2025), delivered across Llandaff and Cyncoed campuses. The programme included an information fair, community market, sustainability drop-ins, expert talks, creative workshops, textile repair sessions, conservation events, and a litter pick, providing hands-on opportunities to engage with sustainability. In January 2026, the Sustainability Staff Network was launched to connect and strengthen sustainability work across the University, supporting collaboration and knowledge sharing.</w:t>
      </w:r>
    </w:p>
    <w:p w14:paraId="4772EB0D" w14:textId="77777777" w:rsidR="00825DAE" w:rsidRDefault="00825DAE" w:rsidP="001463C6">
      <w:pPr>
        <w:spacing w:after="364" w:line="259" w:lineRule="auto"/>
        <w:ind w:left="0" w:right="0" w:firstLine="0"/>
        <w:rPr>
          <w:rFonts w:asciiTheme="minorHAnsi" w:hAnsiTheme="minorHAnsi"/>
        </w:rPr>
      </w:pPr>
    </w:p>
    <w:p w14:paraId="67252940" w14:textId="5965E7F0" w:rsidR="00825DAE" w:rsidRPr="00825DAE" w:rsidRDefault="00825DAE" w:rsidP="001463C6">
      <w:pPr>
        <w:spacing w:after="364" w:line="259" w:lineRule="auto"/>
        <w:ind w:left="0" w:right="0" w:firstLine="0"/>
        <w:rPr>
          <w:rFonts w:asciiTheme="minorHAnsi" w:hAnsiTheme="minorHAnsi"/>
          <w:b/>
          <w:bCs/>
        </w:rPr>
      </w:pPr>
      <w:r w:rsidRPr="00825DAE">
        <w:rPr>
          <w:rFonts w:asciiTheme="minorHAnsi" w:hAnsiTheme="minorHAnsi"/>
          <w:b/>
          <w:bCs/>
        </w:rPr>
        <w:t>Scope 3 Emissions</w:t>
      </w:r>
    </w:p>
    <w:p w14:paraId="3B42D453" w14:textId="40300232" w:rsidR="0090639A" w:rsidRPr="00E346DE" w:rsidRDefault="0065091F" w:rsidP="00825DAE">
      <w:pPr>
        <w:spacing w:after="0" w:line="259" w:lineRule="auto"/>
        <w:ind w:left="0" w:right="0" w:firstLine="0"/>
        <w:rPr>
          <w:rFonts w:asciiTheme="minorHAnsi" w:hAnsiTheme="minorHAnsi"/>
        </w:rPr>
        <w:sectPr w:rsidR="0090639A" w:rsidRPr="00E346DE">
          <w:headerReference w:type="default" r:id="rId16"/>
          <w:pgSz w:w="11905" w:h="16840"/>
          <w:pgMar w:top="1440" w:right="1432" w:bottom="1728" w:left="1441" w:header="720" w:footer="720" w:gutter="0"/>
          <w:cols w:space="720"/>
        </w:sectPr>
      </w:pPr>
      <w:r w:rsidRPr="00E346DE">
        <w:rPr>
          <w:rFonts w:asciiTheme="minorHAnsi" w:hAnsiTheme="minorHAnsi"/>
          <w:noProof/>
          <w:sz w:val="2"/>
        </w:rPr>
        <w:drawing>
          <wp:anchor distT="0" distB="0" distL="114300" distR="114300" simplePos="0" relativeHeight="251664384" behindDoc="1" locked="0" layoutInCell="0" allowOverlap="1" wp14:anchorId="0DD585F8" wp14:editId="4A9541FD">
            <wp:simplePos x="0" y="0"/>
            <wp:positionH relativeFrom="page">
              <wp:posOffset>12114</wp:posOffset>
            </wp:positionH>
            <wp:positionV relativeFrom="page">
              <wp:align>bottom</wp:align>
            </wp:positionV>
            <wp:extent cx="7575381" cy="10701315"/>
            <wp:effectExtent l="0" t="0" r="6985" b="5080"/>
            <wp:wrapNone/>
            <wp:docPr id="105004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03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381" cy="10701315"/>
                    </a:xfrm>
                    <a:prstGeom prst="rect">
                      <a:avLst/>
                    </a:prstGeom>
                    <a:noFill/>
                  </pic:spPr>
                </pic:pic>
              </a:graphicData>
            </a:graphic>
            <wp14:sizeRelH relativeFrom="page">
              <wp14:pctWidth>0</wp14:pctWidth>
            </wp14:sizeRelH>
            <wp14:sizeRelV relativeFrom="page">
              <wp14:pctHeight>0</wp14:pctHeight>
            </wp14:sizeRelV>
          </wp:anchor>
        </w:drawing>
      </w:r>
      <w:r w:rsidR="001463C6" w:rsidRPr="00E346DE">
        <w:rPr>
          <w:rFonts w:asciiTheme="minorHAnsi" w:hAnsiTheme="minorHAnsi"/>
          <w:noProof/>
          <w:sz w:val="2"/>
        </w:rPr>
        <w:drawing>
          <wp:anchor distT="0" distB="0" distL="114300" distR="114300" simplePos="0" relativeHeight="251670528" behindDoc="1" locked="0" layoutInCell="0" allowOverlap="1" wp14:anchorId="6DCEDE8A" wp14:editId="0261777A">
            <wp:simplePos x="0" y="0"/>
            <wp:positionH relativeFrom="page">
              <wp:align>left</wp:align>
            </wp:positionH>
            <wp:positionV relativeFrom="page">
              <wp:align>top</wp:align>
            </wp:positionV>
            <wp:extent cx="7575381" cy="10701315"/>
            <wp:effectExtent l="0" t="0" r="6985" b="5080"/>
            <wp:wrapNone/>
            <wp:docPr id="2106448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03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381" cy="10701315"/>
                    </a:xfrm>
                    <a:prstGeom prst="rect">
                      <a:avLst/>
                    </a:prstGeom>
                    <a:noFill/>
                  </pic:spPr>
                </pic:pic>
              </a:graphicData>
            </a:graphic>
            <wp14:sizeRelH relativeFrom="page">
              <wp14:pctWidth>0</wp14:pctWidth>
            </wp14:sizeRelH>
            <wp14:sizeRelV relativeFrom="page">
              <wp14:pctHeight>0</wp14:pctHeight>
            </wp14:sizeRelV>
          </wp:anchor>
        </w:drawing>
      </w:r>
      <w:r w:rsidR="006C63DB" w:rsidRPr="00E346DE">
        <w:rPr>
          <w:rFonts w:asciiTheme="minorHAnsi" w:hAnsiTheme="minorHAnsi"/>
        </w:rPr>
        <w:t xml:space="preserve">Our scope 3 emissions are calculated using </w:t>
      </w:r>
      <w:hyperlink r:id="rId17">
        <w:r w:rsidR="006C63DB" w:rsidRPr="00E346DE">
          <w:rPr>
            <w:rFonts w:asciiTheme="minorHAnsi" w:hAnsiTheme="minorHAnsi"/>
            <w:color w:val="467886"/>
            <w:u w:val="single" w:color="467886"/>
          </w:rPr>
          <w:t>carbon emissions factors published by the</w:t>
        </w:r>
      </w:hyperlink>
      <w:hyperlink r:id="rId18">
        <w:r w:rsidR="006C63DB" w:rsidRPr="00E346DE">
          <w:rPr>
            <w:rFonts w:asciiTheme="minorHAnsi" w:hAnsiTheme="minorHAnsi"/>
            <w:color w:val="467886"/>
          </w:rPr>
          <w:t xml:space="preserve"> </w:t>
        </w:r>
      </w:hyperlink>
      <w:hyperlink r:id="rId19">
        <w:r w:rsidR="006C63DB" w:rsidRPr="00E346DE">
          <w:rPr>
            <w:rFonts w:asciiTheme="minorHAnsi" w:hAnsiTheme="minorHAnsi"/>
            <w:color w:val="467886"/>
            <w:u w:val="single" w:color="467886"/>
          </w:rPr>
          <w:t>UK Government</w:t>
        </w:r>
      </w:hyperlink>
      <w:hyperlink r:id="rId20">
        <w:r w:rsidR="006C63DB" w:rsidRPr="00E346DE">
          <w:rPr>
            <w:rFonts w:asciiTheme="minorHAnsi" w:hAnsiTheme="minorHAnsi"/>
          </w:rPr>
          <w:t xml:space="preserve"> </w:t>
        </w:r>
      </w:hyperlink>
      <w:r w:rsidR="006C63DB" w:rsidRPr="00E346DE">
        <w:rPr>
          <w:rFonts w:asciiTheme="minorHAnsi" w:hAnsiTheme="minorHAnsi"/>
        </w:rPr>
        <w:t>and our Higher Education Statistics Agency (HESA) data. The selected scope 3 emissions are from the University's water supply, waste, procurement, staff and students commuting and business travel emissions (primarily from air travel). These are the most significant categories for the University's scope 3 emissions, as determined in our 2024-2030 Carbon Management Plan, and are also the categories where we hold sufficient data for meaningful emissions calculations. The categories not included in this table are emissions from residential halls both internal and external and emissions from students travelling from home. In the future, we hope to calculate and include these emissions sources in our yearly progress report.</w:t>
      </w:r>
      <w:r w:rsidRPr="00E346DE">
        <w:rPr>
          <w:rFonts w:asciiTheme="minorHAnsi" w:hAnsiTheme="minorHAnsi"/>
          <w:noProof/>
          <w:sz w:val="2"/>
        </w:rPr>
        <w:t xml:space="preserve"> </w:t>
      </w:r>
    </w:p>
    <w:p w14:paraId="7ED1B294" w14:textId="3CD7B76E" w:rsidR="00160D92" w:rsidRPr="00E346DE" w:rsidRDefault="0065091F" w:rsidP="001463C6">
      <w:pPr>
        <w:spacing w:after="360" w:line="259" w:lineRule="auto"/>
        <w:ind w:left="-851" w:right="0" w:firstLine="851"/>
        <w:rPr>
          <w:rFonts w:asciiTheme="minorHAnsi" w:hAnsiTheme="minorHAnsi"/>
        </w:rPr>
      </w:pPr>
      <w:r w:rsidRPr="00E346DE">
        <w:rPr>
          <w:rFonts w:asciiTheme="minorHAnsi" w:hAnsiTheme="minorHAnsi"/>
          <w:noProof/>
          <w:sz w:val="2"/>
        </w:rPr>
        <w:lastRenderedPageBreak/>
        <w:drawing>
          <wp:anchor distT="0" distB="0" distL="114300" distR="114300" simplePos="0" relativeHeight="251666432" behindDoc="1" locked="0" layoutInCell="0" allowOverlap="1" wp14:anchorId="150D6839" wp14:editId="276AE30D">
            <wp:simplePos x="0" y="0"/>
            <wp:positionH relativeFrom="page">
              <wp:align>right</wp:align>
            </wp:positionH>
            <wp:positionV relativeFrom="margin">
              <wp:align>center</wp:align>
            </wp:positionV>
            <wp:extent cx="7575381" cy="10701315"/>
            <wp:effectExtent l="0" t="0" r="6985" b="5080"/>
            <wp:wrapNone/>
            <wp:docPr id="1910785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03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381" cy="10701315"/>
                    </a:xfrm>
                    <a:prstGeom prst="rect">
                      <a:avLst/>
                    </a:prstGeom>
                    <a:noFill/>
                  </pic:spPr>
                </pic:pic>
              </a:graphicData>
            </a:graphic>
            <wp14:sizeRelH relativeFrom="page">
              <wp14:pctWidth>0</wp14:pctWidth>
            </wp14:sizeRelH>
            <wp14:sizeRelV relativeFrom="page">
              <wp14:pctHeight>0</wp14:pctHeight>
            </wp14:sizeRelV>
          </wp:anchor>
        </w:drawing>
      </w:r>
    </w:p>
    <w:p w14:paraId="4DBCCB88" w14:textId="77777777" w:rsidR="00160D92" w:rsidRPr="00E346DE" w:rsidRDefault="006C63DB" w:rsidP="001463C6">
      <w:pPr>
        <w:pStyle w:val="Heading1"/>
        <w:ind w:left="-5"/>
        <w:jc w:val="both"/>
        <w:rPr>
          <w:rFonts w:asciiTheme="minorHAnsi" w:hAnsiTheme="minorHAnsi"/>
        </w:rPr>
      </w:pPr>
      <w:r w:rsidRPr="00E346DE">
        <w:rPr>
          <w:rFonts w:asciiTheme="minorHAnsi" w:hAnsiTheme="minorHAnsi"/>
        </w:rPr>
        <w:t xml:space="preserve">SCOPE 3 BREAKDOWN </w:t>
      </w:r>
    </w:p>
    <w:tbl>
      <w:tblPr>
        <w:tblStyle w:val="TableGrid0"/>
        <w:tblW w:w="11052" w:type="dxa"/>
        <w:tblInd w:w="-856" w:type="dxa"/>
        <w:tblLook w:val="04A0" w:firstRow="1" w:lastRow="0" w:firstColumn="1" w:lastColumn="0" w:noHBand="0" w:noVBand="1"/>
      </w:tblPr>
      <w:tblGrid>
        <w:gridCol w:w="2454"/>
        <w:gridCol w:w="1489"/>
        <w:gridCol w:w="2997"/>
        <w:gridCol w:w="1316"/>
        <w:gridCol w:w="1533"/>
        <w:gridCol w:w="1263"/>
      </w:tblGrid>
      <w:tr w:rsidR="0090639A" w:rsidRPr="00E346DE" w14:paraId="7F8748BA" w14:textId="55F17A29" w:rsidTr="0065091F">
        <w:trPr>
          <w:trHeight w:val="605"/>
        </w:trPr>
        <w:tc>
          <w:tcPr>
            <w:tcW w:w="2470" w:type="dxa"/>
            <w:tcBorders>
              <w:top w:val="single" w:sz="4" w:space="0" w:color="000000"/>
              <w:left w:val="single" w:sz="4" w:space="0" w:color="000000"/>
              <w:bottom w:val="single" w:sz="4" w:space="0" w:color="000000"/>
              <w:right w:val="single" w:sz="4" w:space="0" w:color="000000"/>
            </w:tcBorders>
          </w:tcPr>
          <w:p w14:paraId="40F89CA1" w14:textId="4AE7FBB9" w:rsidR="0090639A" w:rsidRPr="00E346DE" w:rsidRDefault="0090639A" w:rsidP="001463C6">
            <w:pPr>
              <w:ind w:left="0" w:firstLine="0"/>
              <w:rPr>
                <w:rFonts w:asciiTheme="minorHAnsi" w:hAnsiTheme="minorHAnsi"/>
                <w:b/>
                <w:bCs/>
              </w:rPr>
            </w:pPr>
            <w:r w:rsidRPr="00E346DE">
              <w:rPr>
                <w:rFonts w:asciiTheme="minorHAnsi" w:hAnsiTheme="minorHAnsi"/>
                <w:b/>
                <w:bCs/>
              </w:rPr>
              <w:t>Area</w:t>
            </w:r>
          </w:p>
        </w:tc>
        <w:tc>
          <w:tcPr>
            <w:tcW w:w="1495" w:type="dxa"/>
            <w:tcBorders>
              <w:top w:val="single" w:sz="4" w:space="0" w:color="000000"/>
              <w:left w:val="single" w:sz="4" w:space="0" w:color="000000"/>
              <w:bottom w:val="single" w:sz="4" w:space="0" w:color="000000"/>
              <w:right w:val="single" w:sz="4" w:space="0" w:color="000000"/>
            </w:tcBorders>
          </w:tcPr>
          <w:p w14:paraId="7B76E0E2"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Baseline</w:t>
            </w:r>
          </w:p>
          <w:p w14:paraId="5ED8EC4F" w14:textId="284CDB54"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2021-2022 </w:t>
            </w:r>
          </w:p>
        </w:tc>
        <w:tc>
          <w:tcPr>
            <w:tcW w:w="3027" w:type="dxa"/>
          </w:tcPr>
          <w:p w14:paraId="4FC99BAD"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Target </w:t>
            </w:r>
          </w:p>
        </w:tc>
        <w:tc>
          <w:tcPr>
            <w:tcW w:w="1255" w:type="dxa"/>
          </w:tcPr>
          <w:p w14:paraId="0466111F"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Progress 22/23 </w:t>
            </w:r>
          </w:p>
        </w:tc>
        <w:tc>
          <w:tcPr>
            <w:tcW w:w="1540" w:type="dxa"/>
          </w:tcPr>
          <w:p w14:paraId="5AAB7A7F"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Progress 23/24 </w:t>
            </w:r>
          </w:p>
        </w:tc>
        <w:tc>
          <w:tcPr>
            <w:tcW w:w="1265" w:type="dxa"/>
          </w:tcPr>
          <w:p w14:paraId="2BE85142" w14:textId="109491FB" w:rsidR="0090639A" w:rsidRPr="00E346DE" w:rsidRDefault="0090639A" w:rsidP="001463C6">
            <w:pPr>
              <w:ind w:left="0" w:firstLine="0"/>
              <w:rPr>
                <w:rFonts w:asciiTheme="minorHAnsi" w:hAnsiTheme="minorHAnsi"/>
                <w:b/>
                <w:bCs/>
              </w:rPr>
            </w:pPr>
            <w:r w:rsidRPr="00E346DE">
              <w:rPr>
                <w:rFonts w:asciiTheme="minorHAnsi" w:hAnsiTheme="minorHAnsi"/>
                <w:b/>
                <w:bCs/>
              </w:rPr>
              <w:t>Progress 24/25</w:t>
            </w:r>
          </w:p>
        </w:tc>
      </w:tr>
      <w:tr w:rsidR="0090639A" w:rsidRPr="00E346DE" w14:paraId="16CA1EE1" w14:textId="0A822D11" w:rsidTr="0065091F">
        <w:trPr>
          <w:trHeight w:val="884"/>
        </w:trPr>
        <w:tc>
          <w:tcPr>
            <w:tcW w:w="2470" w:type="dxa"/>
            <w:tcBorders>
              <w:top w:val="single" w:sz="4" w:space="0" w:color="000000"/>
              <w:left w:val="single" w:sz="4" w:space="0" w:color="000000"/>
              <w:bottom w:val="single" w:sz="4" w:space="0" w:color="000000"/>
              <w:right w:val="single" w:sz="4" w:space="0" w:color="000000"/>
            </w:tcBorders>
          </w:tcPr>
          <w:p w14:paraId="441281F4" w14:textId="0B1705D0"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Wastewater Treatment </w:t>
            </w:r>
          </w:p>
          <w:p w14:paraId="15103786"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E3CEWWTT </w:t>
            </w:r>
          </w:p>
        </w:tc>
        <w:tc>
          <w:tcPr>
            <w:tcW w:w="1495" w:type="dxa"/>
            <w:tcBorders>
              <w:top w:val="single" w:sz="4" w:space="0" w:color="000000"/>
              <w:left w:val="single" w:sz="4" w:space="0" w:color="000000"/>
              <w:bottom w:val="single" w:sz="4" w:space="0" w:color="000000"/>
              <w:right w:val="single" w:sz="4" w:space="0" w:color="000000"/>
            </w:tcBorders>
          </w:tcPr>
          <w:p w14:paraId="2A2EC6E7"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19.040 </w:t>
            </w:r>
          </w:p>
        </w:tc>
        <w:tc>
          <w:tcPr>
            <w:tcW w:w="3027" w:type="dxa"/>
          </w:tcPr>
          <w:p w14:paraId="6738FDD0"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10% </w:t>
            </w:r>
          </w:p>
          <w:p w14:paraId="106DF586"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reduction in tC02e </w:t>
            </w:r>
          </w:p>
        </w:tc>
        <w:tc>
          <w:tcPr>
            <w:tcW w:w="1255" w:type="dxa"/>
          </w:tcPr>
          <w:p w14:paraId="6570CACD"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15.641 </w:t>
            </w:r>
          </w:p>
        </w:tc>
        <w:tc>
          <w:tcPr>
            <w:tcW w:w="1540" w:type="dxa"/>
          </w:tcPr>
          <w:p w14:paraId="3321125C"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15.386 </w:t>
            </w:r>
          </w:p>
        </w:tc>
        <w:tc>
          <w:tcPr>
            <w:tcW w:w="1265" w:type="dxa"/>
          </w:tcPr>
          <w:p w14:paraId="3F07A1B8" w14:textId="684A5C16" w:rsidR="0090639A" w:rsidRPr="00E346DE" w:rsidRDefault="00324C11" w:rsidP="001463C6">
            <w:pPr>
              <w:ind w:left="0" w:firstLine="0"/>
              <w:rPr>
                <w:rFonts w:asciiTheme="minorHAnsi" w:hAnsiTheme="minorHAnsi"/>
              </w:rPr>
            </w:pPr>
            <w:r w:rsidRPr="00E346DE">
              <w:rPr>
                <w:rFonts w:asciiTheme="minorHAnsi" w:hAnsiTheme="minorHAnsi"/>
              </w:rPr>
              <w:t>12.508</w:t>
            </w:r>
          </w:p>
        </w:tc>
      </w:tr>
      <w:tr w:rsidR="0090639A" w:rsidRPr="00E346DE" w14:paraId="2DA9E9DD" w14:textId="22D3E0B2" w:rsidTr="0065091F">
        <w:trPr>
          <w:trHeight w:val="1183"/>
        </w:trPr>
        <w:tc>
          <w:tcPr>
            <w:tcW w:w="2470" w:type="dxa"/>
            <w:tcBorders>
              <w:top w:val="single" w:sz="4" w:space="0" w:color="000000"/>
            </w:tcBorders>
          </w:tcPr>
          <w:p w14:paraId="630F4DD7"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Water Supply </w:t>
            </w:r>
          </w:p>
          <w:p w14:paraId="34794EFB" w14:textId="0FC9A168"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(inc.  Residential) </w:t>
            </w:r>
          </w:p>
          <w:p w14:paraId="2CD7B08D"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E3CEWST </w:t>
            </w:r>
          </w:p>
        </w:tc>
        <w:tc>
          <w:tcPr>
            <w:tcW w:w="1495" w:type="dxa"/>
            <w:tcBorders>
              <w:top w:val="single" w:sz="4" w:space="0" w:color="000000"/>
            </w:tcBorders>
          </w:tcPr>
          <w:p w14:paraId="699CE1FE"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10.979 </w:t>
            </w:r>
          </w:p>
        </w:tc>
        <w:tc>
          <w:tcPr>
            <w:tcW w:w="3027" w:type="dxa"/>
          </w:tcPr>
          <w:p w14:paraId="2D3BDFAB"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10% </w:t>
            </w:r>
          </w:p>
          <w:p w14:paraId="6D006A60"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reduction in tC02e </w:t>
            </w:r>
          </w:p>
        </w:tc>
        <w:tc>
          <w:tcPr>
            <w:tcW w:w="1255" w:type="dxa"/>
          </w:tcPr>
          <w:p w14:paraId="43FDDB1D"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14.379 </w:t>
            </w:r>
          </w:p>
        </w:tc>
        <w:tc>
          <w:tcPr>
            <w:tcW w:w="1540" w:type="dxa"/>
          </w:tcPr>
          <w:p w14:paraId="7CCBB349"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13.257 </w:t>
            </w:r>
          </w:p>
        </w:tc>
        <w:tc>
          <w:tcPr>
            <w:tcW w:w="1265" w:type="dxa"/>
          </w:tcPr>
          <w:p w14:paraId="355FBFC4" w14:textId="694F020F" w:rsidR="0090639A" w:rsidRPr="00E346DE" w:rsidRDefault="00661FBF" w:rsidP="001463C6">
            <w:pPr>
              <w:ind w:left="0" w:firstLine="0"/>
              <w:rPr>
                <w:rFonts w:asciiTheme="minorHAnsi" w:hAnsiTheme="minorHAnsi"/>
              </w:rPr>
            </w:pPr>
            <w:r w:rsidRPr="00E346DE">
              <w:rPr>
                <w:rFonts w:asciiTheme="minorHAnsi" w:hAnsiTheme="minorHAnsi"/>
              </w:rPr>
              <w:t>1</w:t>
            </w:r>
            <w:r w:rsidR="00324C11" w:rsidRPr="00E346DE">
              <w:rPr>
                <w:rFonts w:asciiTheme="minorHAnsi" w:hAnsiTheme="minorHAnsi"/>
              </w:rPr>
              <w:t>4.656</w:t>
            </w:r>
          </w:p>
        </w:tc>
      </w:tr>
      <w:tr w:rsidR="0090639A" w:rsidRPr="00E346DE" w14:paraId="152E6C90" w14:textId="354C9766" w:rsidTr="0065091F">
        <w:trPr>
          <w:trHeight w:val="2643"/>
        </w:trPr>
        <w:tc>
          <w:tcPr>
            <w:tcW w:w="2470" w:type="dxa"/>
          </w:tcPr>
          <w:p w14:paraId="6A7D7DF4"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Waste (</w:t>
            </w:r>
            <w:proofErr w:type="spellStart"/>
            <w:r w:rsidRPr="00E346DE">
              <w:rPr>
                <w:rFonts w:asciiTheme="minorHAnsi" w:hAnsiTheme="minorHAnsi"/>
                <w:b/>
                <w:bCs/>
              </w:rPr>
              <w:t>inc</w:t>
            </w:r>
            <w:proofErr w:type="spellEnd"/>
            <w:r w:rsidRPr="00E346DE">
              <w:rPr>
                <w:rFonts w:asciiTheme="minorHAnsi" w:hAnsiTheme="minorHAnsi"/>
                <w:b/>
                <w:bCs/>
              </w:rPr>
              <w:t xml:space="preserve"> construction &amp; </w:t>
            </w:r>
          </w:p>
          <w:p w14:paraId="6B55DC18"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residential) </w:t>
            </w:r>
          </w:p>
          <w:p w14:paraId="57E9787B"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E3CEWT </w:t>
            </w:r>
          </w:p>
        </w:tc>
        <w:tc>
          <w:tcPr>
            <w:tcW w:w="1495" w:type="dxa"/>
          </w:tcPr>
          <w:p w14:paraId="32BFF8F3"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13.150 </w:t>
            </w:r>
          </w:p>
        </w:tc>
        <w:tc>
          <w:tcPr>
            <w:tcW w:w="3027" w:type="dxa"/>
          </w:tcPr>
          <w:p w14:paraId="66E39C70" w14:textId="164336AC" w:rsidR="0090639A" w:rsidRPr="00E346DE" w:rsidRDefault="0090639A" w:rsidP="001463C6">
            <w:pPr>
              <w:ind w:left="0" w:firstLine="0"/>
              <w:rPr>
                <w:rFonts w:asciiTheme="minorHAnsi" w:hAnsiTheme="minorHAnsi"/>
              </w:rPr>
            </w:pPr>
            <w:r w:rsidRPr="00E346DE">
              <w:rPr>
                <w:rFonts w:asciiTheme="minorHAnsi" w:hAnsiTheme="minorHAnsi"/>
              </w:rPr>
              <w:t>Zero waste to landfill and recycle 70% of waste. 5% reduction in tC02e</w:t>
            </w:r>
            <w:r w:rsidR="009D0396" w:rsidRPr="00E346DE">
              <w:rPr>
                <w:rFonts w:asciiTheme="minorHAnsi" w:hAnsiTheme="minorHAnsi"/>
              </w:rPr>
              <w:t xml:space="preserve">. </w:t>
            </w:r>
            <w:r w:rsidR="009D0396" w:rsidRPr="00E346DE">
              <w:rPr>
                <w:rFonts w:asciiTheme="minorHAnsi" w:hAnsiTheme="minorHAnsi"/>
                <w:i/>
                <w:iCs/>
              </w:rPr>
              <w:t>The incinerator was unavailable for a period. Hence a significant increase in waste to landfill</w:t>
            </w:r>
            <w:r w:rsidRPr="00E346DE">
              <w:rPr>
                <w:rFonts w:asciiTheme="minorHAnsi" w:hAnsiTheme="minorHAnsi"/>
              </w:rPr>
              <w:t xml:space="preserve"> </w:t>
            </w:r>
          </w:p>
        </w:tc>
        <w:tc>
          <w:tcPr>
            <w:tcW w:w="1255" w:type="dxa"/>
          </w:tcPr>
          <w:p w14:paraId="44F57052"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15.317 </w:t>
            </w:r>
          </w:p>
        </w:tc>
        <w:tc>
          <w:tcPr>
            <w:tcW w:w="1540" w:type="dxa"/>
          </w:tcPr>
          <w:p w14:paraId="16E2C864"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15.195 </w:t>
            </w:r>
          </w:p>
        </w:tc>
        <w:tc>
          <w:tcPr>
            <w:tcW w:w="1265" w:type="dxa"/>
          </w:tcPr>
          <w:p w14:paraId="5658EBAF" w14:textId="46D7CF51" w:rsidR="0090639A" w:rsidRPr="00E346DE" w:rsidRDefault="009D0396" w:rsidP="001463C6">
            <w:pPr>
              <w:ind w:left="0" w:firstLine="0"/>
              <w:rPr>
                <w:rFonts w:asciiTheme="minorHAnsi" w:hAnsiTheme="minorHAnsi"/>
              </w:rPr>
            </w:pPr>
            <w:r w:rsidRPr="00E346DE">
              <w:rPr>
                <w:rFonts w:asciiTheme="minorHAnsi" w:hAnsiTheme="minorHAnsi"/>
              </w:rPr>
              <w:t>51.608</w:t>
            </w:r>
          </w:p>
        </w:tc>
      </w:tr>
      <w:tr w:rsidR="0090639A" w:rsidRPr="00E346DE" w14:paraId="585C1427" w14:textId="2C568B4A" w:rsidTr="0065091F">
        <w:trPr>
          <w:trHeight w:val="1478"/>
        </w:trPr>
        <w:tc>
          <w:tcPr>
            <w:tcW w:w="2470" w:type="dxa"/>
          </w:tcPr>
          <w:p w14:paraId="310787B0"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Business Travel </w:t>
            </w:r>
          </w:p>
          <w:p w14:paraId="08ED2755"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 staff &amp; students </w:t>
            </w:r>
          </w:p>
        </w:tc>
        <w:tc>
          <w:tcPr>
            <w:tcW w:w="1495" w:type="dxa"/>
          </w:tcPr>
          <w:p w14:paraId="0D0AAACB"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66.13 </w:t>
            </w:r>
          </w:p>
        </w:tc>
        <w:tc>
          <w:tcPr>
            <w:tcW w:w="3027" w:type="dxa"/>
          </w:tcPr>
          <w:p w14:paraId="5468EBCC" w14:textId="77777777" w:rsidR="0090639A" w:rsidRPr="00E346DE" w:rsidRDefault="0090639A" w:rsidP="001463C6">
            <w:pPr>
              <w:ind w:left="0" w:firstLine="0"/>
              <w:rPr>
                <w:rFonts w:asciiTheme="minorHAnsi" w:hAnsiTheme="minorHAnsi"/>
              </w:rPr>
            </w:pPr>
            <w:r w:rsidRPr="00E346DE">
              <w:rPr>
                <w:rFonts w:asciiTheme="minorHAnsi" w:hAnsiTheme="minorHAnsi"/>
              </w:rPr>
              <w:t>Reductio</w:t>
            </w:r>
          </w:p>
          <w:p w14:paraId="582AE639"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n of 5% in carbon emissions tC02e  </w:t>
            </w:r>
          </w:p>
        </w:tc>
        <w:tc>
          <w:tcPr>
            <w:tcW w:w="1255" w:type="dxa"/>
          </w:tcPr>
          <w:p w14:paraId="00CEEEE1"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471.110 </w:t>
            </w:r>
          </w:p>
        </w:tc>
        <w:tc>
          <w:tcPr>
            <w:tcW w:w="1540" w:type="dxa"/>
          </w:tcPr>
          <w:p w14:paraId="1DAEDCDF"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782.700 </w:t>
            </w:r>
          </w:p>
        </w:tc>
        <w:tc>
          <w:tcPr>
            <w:tcW w:w="1265" w:type="dxa"/>
          </w:tcPr>
          <w:p w14:paraId="0F2A733F" w14:textId="22E2F46A" w:rsidR="0090639A" w:rsidRPr="00E346DE" w:rsidRDefault="009D0396" w:rsidP="001463C6">
            <w:pPr>
              <w:ind w:left="0" w:firstLine="0"/>
              <w:rPr>
                <w:rFonts w:asciiTheme="minorHAnsi" w:hAnsiTheme="minorHAnsi"/>
              </w:rPr>
            </w:pPr>
            <w:r w:rsidRPr="00E346DE">
              <w:rPr>
                <w:rFonts w:asciiTheme="minorHAnsi" w:hAnsiTheme="minorHAnsi"/>
              </w:rPr>
              <w:t>1,120.71</w:t>
            </w:r>
          </w:p>
        </w:tc>
      </w:tr>
      <w:tr w:rsidR="0090639A" w:rsidRPr="00E346DE" w14:paraId="26F1BEF6" w14:textId="6A93F7CC" w:rsidTr="0065091F">
        <w:trPr>
          <w:trHeight w:val="4994"/>
        </w:trPr>
        <w:tc>
          <w:tcPr>
            <w:tcW w:w="2470" w:type="dxa"/>
          </w:tcPr>
          <w:p w14:paraId="5F7E09E6"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Staff </w:t>
            </w:r>
          </w:p>
          <w:p w14:paraId="014EAA1B"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Commuting </w:t>
            </w:r>
          </w:p>
        </w:tc>
        <w:tc>
          <w:tcPr>
            <w:tcW w:w="1495" w:type="dxa"/>
          </w:tcPr>
          <w:p w14:paraId="41E0705A"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362.90 </w:t>
            </w:r>
          </w:p>
        </w:tc>
        <w:tc>
          <w:tcPr>
            <w:tcW w:w="3027" w:type="dxa"/>
          </w:tcPr>
          <w:p w14:paraId="56DA845D"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Reduce </w:t>
            </w:r>
          </w:p>
          <w:p w14:paraId="1814C86B"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staff single </w:t>
            </w:r>
          </w:p>
          <w:p w14:paraId="7059622C" w14:textId="723E6E5D" w:rsidR="0090639A" w:rsidRPr="00E346DE" w:rsidRDefault="0090639A" w:rsidP="001463C6">
            <w:pPr>
              <w:ind w:left="0" w:firstLine="0"/>
              <w:rPr>
                <w:rFonts w:asciiTheme="minorHAnsi" w:hAnsiTheme="minorHAnsi"/>
              </w:rPr>
            </w:pPr>
            <w:r w:rsidRPr="00E346DE">
              <w:rPr>
                <w:rFonts w:asciiTheme="minorHAnsi" w:hAnsiTheme="minorHAnsi"/>
              </w:rPr>
              <w:t>occupancy</w:t>
            </w:r>
          </w:p>
          <w:p w14:paraId="30181FC1"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y car journeys to Cardiff met and the </w:t>
            </w:r>
          </w:p>
          <w:p w14:paraId="28870D00" w14:textId="1E04C728" w:rsidR="0090639A" w:rsidRPr="00E346DE" w:rsidRDefault="0090639A" w:rsidP="001463C6">
            <w:pPr>
              <w:ind w:left="0" w:firstLine="0"/>
              <w:rPr>
                <w:rFonts w:asciiTheme="minorHAnsi" w:hAnsiTheme="minorHAnsi"/>
              </w:rPr>
            </w:pPr>
            <w:r w:rsidRPr="00E346DE">
              <w:rPr>
                <w:rFonts w:asciiTheme="minorHAnsi" w:hAnsiTheme="minorHAnsi"/>
              </w:rPr>
              <w:t>dependent</w:t>
            </w:r>
          </w:p>
          <w:p w14:paraId="600A8354"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cy on vehicles to </w:t>
            </w:r>
          </w:p>
          <w:p w14:paraId="0E5D0E8D"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support </w:t>
            </w:r>
          </w:p>
          <w:p w14:paraId="2303F351"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its activity by 5% </w:t>
            </w:r>
          </w:p>
          <w:p w14:paraId="699A37D3"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 </w:t>
            </w:r>
          </w:p>
        </w:tc>
        <w:tc>
          <w:tcPr>
            <w:tcW w:w="1255" w:type="dxa"/>
          </w:tcPr>
          <w:p w14:paraId="5C5C8BD7"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2783.73 </w:t>
            </w:r>
          </w:p>
        </w:tc>
        <w:tc>
          <w:tcPr>
            <w:tcW w:w="1540" w:type="dxa"/>
          </w:tcPr>
          <w:p w14:paraId="656DB06A"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709.18 </w:t>
            </w:r>
          </w:p>
          <w:p w14:paraId="3C15AF45"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 </w:t>
            </w:r>
          </w:p>
        </w:tc>
        <w:tc>
          <w:tcPr>
            <w:tcW w:w="1265" w:type="dxa"/>
          </w:tcPr>
          <w:p w14:paraId="49964AFD" w14:textId="5F1C815F" w:rsidR="0090639A" w:rsidRPr="00E346DE" w:rsidRDefault="00661FBF" w:rsidP="001463C6">
            <w:pPr>
              <w:ind w:left="0" w:firstLine="0"/>
              <w:rPr>
                <w:rFonts w:asciiTheme="minorHAnsi" w:hAnsiTheme="minorHAnsi"/>
              </w:rPr>
            </w:pPr>
            <w:r w:rsidRPr="00E346DE">
              <w:rPr>
                <w:rFonts w:asciiTheme="minorHAnsi" w:hAnsiTheme="minorHAnsi"/>
              </w:rPr>
              <w:t>709.18</w:t>
            </w:r>
          </w:p>
        </w:tc>
      </w:tr>
      <w:tr w:rsidR="0090639A" w:rsidRPr="00E346DE" w14:paraId="26FD2519" w14:textId="25C7ABBF" w:rsidTr="0065091F">
        <w:trPr>
          <w:trHeight w:val="887"/>
        </w:trPr>
        <w:tc>
          <w:tcPr>
            <w:tcW w:w="2470" w:type="dxa"/>
          </w:tcPr>
          <w:p w14:paraId="2337B57E"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lastRenderedPageBreak/>
              <w:t xml:space="preserve">Student </w:t>
            </w:r>
          </w:p>
          <w:p w14:paraId="2B3A593F" w14:textId="77777777" w:rsidR="0090639A" w:rsidRPr="00E346DE" w:rsidRDefault="0090639A" w:rsidP="001463C6">
            <w:pPr>
              <w:ind w:left="0" w:firstLine="0"/>
              <w:rPr>
                <w:rFonts w:asciiTheme="minorHAnsi" w:hAnsiTheme="minorHAnsi"/>
                <w:b/>
                <w:bCs/>
              </w:rPr>
            </w:pPr>
            <w:r w:rsidRPr="00E346DE">
              <w:rPr>
                <w:rFonts w:asciiTheme="minorHAnsi" w:hAnsiTheme="minorHAnsi"/>
                <w:b/>
                <w:bCs/>
              </w:rPr>
              <w:t xml:space="preserve">Commuting </w:t>
            </w:r>
          </w:p>
        </w:tc>
        <w:tc>
          <w:tcPr>
            <w:tcW w:w="1495" w:type="dxa"/>
          </w:tcPr>
          <w:p w14:paraId="787EA1BF"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1532.40 </w:t>
            </w:r>
          </w:p>
        </w:tc>
        <w:tc>
          <w:tcPr>
            <w:tcW w:w="3027" w:type="dxa"/>
          </w:tcPr>
          <w:p w14:paraId="5C5F7309" w14:textId="77777777" w:rsidR="0090639A" w:rsidRPr="00E346DE" w:rsidRDefault="0090639A" w:rsidP="001463C6">
            <w:pPr>
              <w:ind w:left="0" w:firstLine="0"/>
              <w:rPr>
                <w:rFonts w:asciiTheme="minorHAnsi" w:hAnsiTheme="minorHAnsi"/>
              </w:rPr>
            </w:pPr>
            <w:r w:rsidRPr="00E346DE">
              <w:rPr>
                <w:rFonts w:asciiTheme="minorHAnsi" w:hAnsiTheme="minorHAnsi"/>
              </w:rPr>
              <w:t>Reductio</w:t>
            </w:r>
          </w:p>
          <w:p w14:paraId="54CCFF94" w14:textId="4CC9BB4C" w:rsidR="0090639A" w:rsidRPr="00E346DE" w:rsidRDefault="0090639A" w:rsidP="001463C6">
            <w:pPr>
              <w:ind w:left="0" w:firstLine="0"/>
              <w:rPr>
                <w:rFonts w:asciiTheme="minorHAnsi" w:hAnsiTheme="minorHAnsi"/>
              </w:rPr>
            </w:pPr>
            <w:r w:rsidRPr="00E346DE">
              <w:rPr>
                <w:rFonts w:asciiTheme="minorHAnsi" w:hAnsiTheme="minorHAnsi"/>
              </w:rPr>
              <w:t xml:space="preserve">n of 5% in carbon </w:t>
            </w:r>
            <w:r w:rsidR="00547D50" w:rsidRPr="00E346DE">
              <w:rPr>
                <w:rFonts w:asciiTheme="minorHAnsi" w:hAnsiTheme="minorHAnsi"/>
              </w:rPr>
              <w:t>emissions tC02e</w:t>
            </w:r>
          </w:p>
        </w:tc>
        <w:tc>
          <w:tcPr>
            <w:tcW w:w="1255" w:type="dxa"/>
          </w:tcPr>
          <w:p w14:paraId="5775AC67"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37556.99 </w:t>
            </w:r>
          </w:p>
          <w:p w14:paraId="5863CAE0"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 </w:t>
            </w:r>
          </w:p>
        </w:tc>
        <w:tc>
          <w:tcPr>
            <w:tcW w:w="1540" w:type="dxa"/>
          </w:tcPr>
          <w:p w14:paraId="076ADCF4"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2745.24 </w:t>
            </w:r>
          </w:p>
          <w:p w14:paraId="29AB2D7F"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 </w:t>
            </w:r>
          </w:p>
        </w:tc>
        <w:tc>
          <w:tcPr>
            <w:tcW w:w="1265" w:type="dxa"/>
          </w:tcPr>
          <w:p w14:paraId="78147E13" w14:textId="1525E1AA" w:rsidR="00661FBF" w:rsidRPr="00E346DE" w:rsidRDefault="00661FBF" w:rsidP="001463C6">
            <w:pPr>
              <w:ind w:left="0" w:firstLine="0"/>
              <w:rPr>
                <w:rFonts w:asciiTheme="minorHAnsi" w:hAnsiTheme="minorHAnsi"/>
              </w:rPr>
            </w:pPr>
            <w:r w:rsidRPr="00E346DE">
              <w:rPr>
                <w:rFonts w:asciiTheme="minorHAnsi" w:hAnsiTheme="minorHAnsi"/>
              </w:rPr>
              <w:t>2745.24</w:t>
            </w:r>
          </w:p>
        </w:tc>
      </w:tr>
      <w:tr w:rsidR="0090639A" w:rsidRPr="00E346DE" w14:paraId="58D9BD29" w14:textId="77777777" w:rsidTr="0065091F">
        <w:trPr>
          <w:trHeight w:val="3338"/>
        </w:trPr>
        <w:tc>
          <w:tcPr>
            <w:tcW w:w="2470" w:type="dxa"/>
          </w:tcPr>
          <w:p w14:paraId="2B6BB62B"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Procurement (supply chain) </w:t>
            </w:r>
          </w:p>
        </w:tc>
        <w:tc>
          <w:tcPr>
            <w:tcW w:w="1495" w:type="dxa"/>
          </w:tcPr>
          <w:p w14:paraId="5E385A9F" w14:textId="01BAF1FE" w:rsidR="0090639A" w:rsidRPr="00E346DE" w:rsidRDefault="0065091F" w:rsidP="001463C6">
            <w:pPr>
              <w:ind w:left="0" w:firstLine="0"/>
              <w:rPr>
                <w:rFonts w:asciiTheme="minorHAnsi" w:hAnsiTheme="minorHAnsi"/>
              </w:rPr>
            </w:pPr>
            <w:r w:rsidRPr="00E346DE">
              <w:rPr>
                <w:rFonts w:asciiTheme="minorHAnsi" w:hAnsiTheme="minorHAnsi"/>
                <w:noProof/>
                <w:sz w:val="2"/>
              </w:rPr>
              <w:drawing>
                <wp:anchor distT="0" distB="0" distL="114300" distR="114300" simplePos="0" relativeHeight="251668480" behindDoc="1" locked="0" layoutInCell="0" allowOverlap="1" wp14:anchorId="4DE7B7F2" wp14:editId="34D340D4">
                  <wp:simplePos x="0" y="0"/>
                  <wp:positionH relativeFrom="page">
                    <wp:posOffset>-1968789</wp:posOffset>
                  </wp:positionH>
                  <wp:positionV relativeFrom="page">
                    <wp:posOffset>-1560476</wp:posOffset>
                  </wp:positionV>
                  <wp:extent cx="7575381" cy="10701315"/>
                  <wp:effectExtent l="0" t="0" r="6985" b="5080"/>
                  <wp:wrapNone/>
                  <wp:docPr id="1794660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037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5381" cy="10701315"/>
                          </a:xfrm>
                          <a:prstGeom prst="rect">
                            <a:avLst/>
                          </a:prstGeom>
                          <a:noFill/>
                        </pic:spPr>
                      </pic:pic>
                    </a:graphicData>
                  </a:graphic>
                  <wp14:sizeRelH relativeFrom="page">
                    <wp14:pctWidth>0</wp14:pctWidth>
                  </wp14:sizeRelH>
                  <wp14:sizeRelV relativeFrom="page">
                    <wp14:pctHeight>0</wp14:pctHeight>
                  </wp14:sizeRelV>
                </wp:anchor>
              </w:drawing>
            </w:r>
            <w:r w:rsidR="0090639A" w:rsidRPr="00E346DE">
              <w:rPr>
                <w:rFonts w:asciiTheme="minorHAnsi" w:hAnsiTheme="minorHAnsi"/>
              </w:rPr>
              <w:t>17196.7</w:t>
            </w:r>
          </w:p>
          <w:p w14:paraId="32F97F26"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0 </w:t>
            </w:r>
          </w:p>
        </w:tc>
        <w:tc>
          <w:tcPr>
            <w:tcW w:w="3027" w:type="dxa"/>
          </w:tcPr>
          <w:p w14:paraId="26E772C2" w14:textId="1FE97177" w:rsidR="0090639A" w:rsidRPr="00E346DE" w:rsidRDefault="0090639A" w:rsidP="001463C6">
            <w:pPr>
              <w:ind w:left="0" w:firstLine="0"/>
              <w:rPr>
                <w:rFonts w:asciiTheme="minorHAnsi" w:hAnsiTheme="minorHAnsi"/>
              </w:rPr>
            </w:pPr>
            <w:r w:rsidRPr="00E346DE">
              <w:rPr>
                <w:rFonts w:asciiTheme="minorHAnsi" w:hAnsiTheme="minorHAnsi"/>
              </w:rPr>
              <w:t>Reductio</w:t>
            </w:r>
          </w:p>
          <w:p w14:paraId="182A4EFA"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n of 5% in carbon emissions tC02e associate d with </w:t>
            </w:r>
          </w:p>
          <w:p w14:paraId="2A247FC6"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purchase d goods and services </w:t>
            </w:r>
          </w:p>
        </w:tc>
        <w:tc>
          <w:tcPr>
            <w:tcW w:w="1255" w:type="dxa"/>
          </w:tcPr>
          <w:p w14:paraId="5546962F"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13348.620 </w:t>
            </w:r>
          </w:p>
        </w:tc>
        <w:tc>
          <w:tcPr>
            <w:tcW w:w="1540" w:type="dxa"/>
          </w:tcPr>
          <w:p w14:paraId="6BA4BA29" w14:textId="77777777" w:rsidR="0090639A" w:rsidRPr="00E346DE" w:rsidRDefault="0090639A" w:rsidP="001463C6">
            <w:pPr>
              <w:ind w:left="0" w:firstLine="0"/>
              <w:rPr>
                <w:rFonts w:asciiTheme="minorHAnsi" w:hAnsiTheme="minorHAnsi"/>
              </w:rPr>
            </w:pPr>
          </w:p>
        </w:tc>
        <w:tc>
          <w:tcPr>
            <w:tcW w:w="1265" w:type="dxa"/>
          </w:tcPr>
          <w:p w14:paraId="0FFC7F50" w14:textId="426FFFE6" w:rsidR="0090639A" w:rsidRPr="00E346DE" w:rsidRDefault="002B6302" w:rsidP="001463C6">
            <w:pPr>
              <w:ind w:left="0" w:firstLine="0"/>
              <w:rPr>
                <w:rFonts w:asciiTheme="minorHAnsi" w:hAnsiTheme="minorHAnsi"/>
              </w:rPr>
            </w:pPr>
            <w:r w:rsidRPr="00E346DE">
              <w:rPr>
                <w:rFonts w:asciiTheme="minorHAnsi" w:hAnsiTheme="minorHAnsi"/>
              </w:rPr>
              <w:t>9498.21</w:t>
            </w:r>
          </w:p>
          <w:p w14:paraId="64ACEBAA" w14:textId="77777777" w:rsidR="0090639A" w:rsidRPr="00E346DE" w:rsidRDefault="0090639A" w:rsidP="001463C6">
            <w:pPr>
              <w:ind w:left="0" w:firstLine="0"/>
              <w:rPr>
                <w:rFonts w:asciiTheme="minorHAnsi" w:hAnsiTheme="minorHAnsi"/>
              </w:rPr>
            </w:pPr>
            <w:r w:rsidRPr="00E346DE">
              <w:rPr>
                <w:rFonts w:asciiTheme="minorHAnsi" w:hAnsiTheme="minorHAnsi"/>
              </w:rPr>
              <w:t xml:space="preserve"> </w:t>
            </w:r>
          </w:p>
        </w:tc>
      </w:tr>
    </w:tbl>
    <w:p w14:paraId="343AB705" w14:textId="5ECA5020" w:rsidR="00160D92" w:rsidRPr="00E346DE" w:rsidRDefault="006C63DB">
      <w:pPr>
        <w:spacing w:after="184" w:line="259" w:lineRule="auto"/>
        <w:ind w:left="0" w:right="0" w:firstLine="0"/>
        <w:jc w:val="left"/>
        <w:rPr>
          <w:rFonts w:asciiTheme="minorHAnsi" w:hAnsiTheme="minorHAnsi"/>
        </w:rPr>
      </w:pPr>
      <w:r w:rsidRPr="00E346DE">
        <w:rPr>
          <w:rFonts w:asciiTheme="minorHAnsi" w:hAnsiTheme="minorHAnsi"/>
        </w:rPr>
        <w:t xml:space="preserve"> </w:t>
      </w:r>
    </w:p>
    <w:p w14:paraId="4B8C0E96" w14:textId="15127FBB" w:rsidR="00160D92" w:rsidRPr="00E346DE" w:rsidRDefault="006C63DB">
      <w:pPr>
        <w:ind w:right="0"/>
        <w:rPr>
          <w:rFonts w:asciiTheme="minorHAnsi" w:hAnsiTheme="minorHAnsi"/>
        </w:rPr>
      </w:pPr>
      <w:r w:rsidRPr="00E346DE">
        <w:rPr>
          <w:rFonts w:asciiTheme="minorHAnsi" w:hAnsiTheme="minorHAnsi"/>
        </w:rPr>
        <w:t xml:space="preserve">Cardiff Metropolitan University will continue to identify and prioritise projects that deliver carbon savings. For scope 1 and 2, we will continue to reduce the overall energy consumption from our estate by prioritising and investing in planned building refurbishments and long-term maintenance projects that deliver energy and carbon savings. For scope 3, we will continue our work on sustainable procurement; promote and incentivise sustainable travel for both staff and students and build positive sustainable behaviours through creative engagement activities.  </w:t>
      </w:r>
    </w:p>
    <w:sectPr w:rsidR="00160D92" w:rsidRPr="00E346DE" w:rsidSect="0065091F">
      <w:pgSz w:w="11905" w:h="16840"/>
      <w:pgMar w:top="1440" w:right="1432" w:bottom="1728" w:left="144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BA35" w14:textId="77777777" w:rsidR="00A468C8" w:rsidRDefault="00A468C8" w:rsidP="0065091F">
      <w:pPr>
        <w:spacing w:after="0" w:line="240" w:lineRule="auto"/>
      </w:pPr>
      <w:r>
        <w:separator/>
      </w:r>
    </w:p>
  </w:endnote>
  <w:endnote w:type="continuationSeparator" w:id="0">
    <w:p w14:paraId="4171C35F" w14:textId="77777777" w:rsidR="00A468C8" w:rsidRDefault="00A468C8" w:rsidP="0065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8164" w14:textId="77777777" w:rsidR="00A468C8" w:rsidRDefault="00A468C8" w:rsidP="0065091F">
      <w:pPr>
        <w:spacing w:after="0" w:line="240" w:lineRule="auto"/>
      </w:pPr>
      <w:r>
        <w:separator/>
      </w:r>
    </w:p>
  </w:footnote>
  <w:footnote w:type="continuationSeparator" w:id="0">
    <w:p w14:paraId="46C66D6A" w14:textId="77777777" w:rsidR="00A468C8" w:rsidRDefault="00A468C8" w:rsidP="0065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1D05" w14:textId="77777777" w:rsidR="0065091F" w:rsidRDefault="00650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05C94"/>
    <w:multiLevelType w:val="hybridMultilevel"/>
    <w:tmpl w:val="010C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B603B"/>
    <w:multiLevelType w:val="hybridMultilevel"/>
    <w:tmpl w:val="A198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0B1241"/>
    <w:multiLevelType w:val="hybridMultilevel"/>
    <w:tmpl w:val="580C4FFA"/>
    <w:lvl w:ilvl="0" w:tplc="78AAB60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EC8AB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9097E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2028B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DCBE0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1646A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86967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E4B3C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46D71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3248336">
    <w:abstractNumId w:val="2"/>
  </w:num>
  <w:num w:numId="2" w16cid:durableId="233397831">
    <w:abstractNumId w:val="0"/>
  </w:num>
  <w:num w:numId="3" w16cid:durableId="101491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92"/>
    <w:rsid w:val="000474A2"/>
    <w:rsid w:val="001463C6"/>
    <w:rsid w:val="00160D92"/>
    <w:rsid w:val="002B6302"/>
    <w:rsid w:val="00324C11"/>
    <w:rsid w:val="004471E3"/>
    <w:rsid w:val="00486554"/>
    <w:rsid w:val="00547D50"/>
    <w:rsid w:val="00585C17"/>
    <w:rsid w:val="005B7C4C"/>
    <w:rsid w:val="0065091F"/>
    <w:rsid w:val="00661FBF"/>
    <w:rsid w:val="00672022"/>
    <w:rsid w:val="00693E6B"/>
    <w:rsid w:val="006C63DB"/>
    <w:rsid w:val="007949FB"/>
    <w:rsid w:val="008114C4"/>
    <w:rsid w:val="00825DAE"/>
    <w:rsid w:val="00891ECC"/>
    <w:rsid w:val="0090639A"/>
    <w:rsid w:val="009D0396"/>
    <w:rsid w:val="00A468C8"/>
    <w:rsid w:val="00AE5870"/>
    <w:rsid w:val="00CD3922"/>
    <w:rsid w:val="00D924BF"/>
    <w:rsid w:val="00E346DE"/>
    <w:rsid w:val="00ED080F"/>
    <w:rsid w:val="00F73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CC74"/>
  <w15:docId w15:val="{5172BDC5-35B4-48F3-B3CD-568763B4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right="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Light">
    <w:name w:val="Grid Table Light"/>
    <w:basedOn w:val="TableNormal"/>
    <w:uiPriority w:val="40"/>
    <w:rsid w:val="009063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uiPriority w:val="39"/>
    <w:rsid w:val="0090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870"/>
    <w:pPr>
      <w:ind w:left="720"/>
      <w:contextualSpacing/>
    </w:pPr>
  </w:style>
  <w:style w:type="paragraph" w:styleId="Header">
    <w:name w:val="header"/>
    <w:basedOn w:val="Normal"/>
    <w:link w:val="HeaderChar"/>
    <w:uiPriority w:val="99"/>
    <w:unhideWhenUsed/>
    <w:rsid w:val="00650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1F"/>
    <w:rPr>
      <w:rFonts w:ascii="Calibri" w:eastAsia="Calibri" w:hAnsi="Calibri" w:cs="Calibri"/>
      <w:color w:val="000000"/>
    </w:rPr>
  </w:style>
  <w:style w:type="paragraph" w:styleId="Footer">
    <w:name w:val="footer"/>
    <w:basedOn w:val="Normal"/>
    <w:link w:val="FooterChar"/>
    <w:uiPriority w:val="99"/>
    <w:unhideWhenUsed/>
    <w:rsid w:val="00650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1F"/>
    <w:rPr>
      <w:rFonts w:ascii="Calibri" w:eastAsia="Calibri" w:hAnsi="Calibri" w:cs="Calibri"/>
      <w:color w:val="000000"/>
    </w:rPr>
  </w:style>
  <w:style w:type="character" w:styleId="Hyperlink">
    <w:name w:val="Hyperlink"/>
    <w:basedOn w:val="DefaultParagraphFont"/>
    <w:uiPriority w:val="99"/>
    <w:unhideWhenUsed/>
    <w:rsid w:val="00ED080F"/>
    <w:rPr>
      <w:color w:val="467886" w:themeColor="hyperlink"/>
      <w:u w:val="single"/>
    </w:rPr>
  </w:style>
  <w:style w:type="character" w:styleId="UnresolvedMention">
    <w:name w:val="Unresolved Mention"/>
    <w:basedOn w:val="DefaultParagraphFont"/>
    <w:uiPriority w:val="99"/>
    <w:semiHidden/>
    <w:unhideWhenUsed/>
    <w:rsid w:val="00ED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news/2026/cardiff-met-academics-help-shape-global-who-health-policy.php" TargetMode="External"/><Relationship Id="rId18" Type="http://schemas.openxmlformats.org/officeDocument/2006/relationships/hyperlink" Target="https://www.gov.uk/government/publications/greenhouse-gas-reporting-conversion-factors-20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ibse.org/knowledge-research/knowledge-portal/tm39-building-metering-and-monitoring-2026/" TargetMode="External"/><Relationship Id="rId17" Type="http://schemas.openxmlformats.org/officeDocument/2006/relationships/hyperlink" Target="https://www.gov.uk/government/publications/greenhouse-gas-reporting-conversion-factors-202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publications/greenhouse-gas-reporting-conversion-factors-20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re.cardiffmet.ac.uk/en/publications/optimising-university-space-usage-for-energy-and-carbon-managemen/" TargetMode="External"/><Relationship Id="rId5" Type="http://schemas.openxmlformats.org/officeDocument/2006/relationships/styles" Target="styles.xml"/><Relationship Id="rId15" Type="http://schemas.openxmlformats.org/officeDocument/2006/relationships/hyperlink" Target="https://pure.cardiffmet.ac.uk/en/publications/when-the-street-talks-understanding-the-impact-of-climate-change-/" TargetMode="External"/><Relationship Id="rId10" Type="http://schemas.openxmlformats.org/officeDocument/2006/relationships/image" Target="media/image1.jpeg"/><Relationship Id="rId19" Type="http://schemas.openxmlformats.org/officeDocument/2006/relationships/hyperlink" Target="https://www.gov.uk/government/publications/greenhouse-gas-reporting-conversion-factors-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news/2026/new-international-study-warns-over-impact-of-climate-messaging-on-mental-health.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7A8F2-108E-4FC9-8D9F-84C1F69FA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30653-E490-4BE6-8748-0405EF660A0E}">
  <ds:schemaRefs>
    <ds:schemaRef ds:uri="http://schemas.microsoft.com/sharepoint/v3/contenttype/forms"/>
  </ds:schemaRefs>
</ds:datastoreItem>
</file>

<file path=customXml/itemProps3.xml><?xml version="1.0" encoding="utf-8"?>
<ds:datastoreItem xmlns:ds="http://schemas.openxmlformats.org/officeDocument/2006/customXml" ds:itemID="{EC274473-A445-4DA8-85B7-7C2E747D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7164</TotalTime>
  <Pages>6</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Rachel</dc:creator>
  <cp:keywords/>
  <cp:lastModifiedBy>Mayo, Jonah</cp:lastModifiedBy>
  <cp:revision>21</cp:revision>
  <dcterms:created xsi:type="dcterms:W3CDTF">2026-04-01T08:42:00Z</dcterms:created>
  <dcterms:modified xsi:type="dcterms:W3CDTF">2026-06-23T10:06:00Z</dcterms:modified>
</cp:coreProperties>
</file>