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D74743">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689FECD9" w:rsidR="00B75892" w:rsidRDefault="000C1928" w:rsidP="00D74743">
      <w:pPr>
        <w:pStyle w:val="Title"/>
        <w:jc w:val="center"/>
      </w:pPr>
      <w:r>
        <w:t>Prevent</w:t>
      </w:r>
      <w:r w:rsidR="008509B7">
        <w:t xml:space="preserve"> Policy</w:t>
      </w:r>
    </w:p>
    <w:p w14:paraId="138B9132" w14:textId="77777777" w:rsidR="00510E3B" w:rsidRPr="00510E3B" w:rsidRDefault="00510E3B" w:rsidP="003860B9"/>
    <w:p w14:paraId="1DAD50F9" w14:textId="3C00E4E2" w:rsidR="00C05B84" w:rsidRDefault="000F3FF4" w:rsidP="008569CD">
      <w:pPr>
        <w:pStyle w:val="Subtitle"/>
        <w:jc w:val="center"/>
      </w:pPr>
      <w:r>
        <w:t>POLICY COVERSHEET</w:t>
      </w:r>
    </w:p>
    <w:p w14:paraId="4B1B3214" w14:textId="0BE94623" w:rsidR="00FD74CD" w:rsidRPr="00FD74CD" w:rsidRDefault="00FD74CD" w:rsidP="00FD74CD">
      <w:pPr>
        <w:jc w:val="center"/>
        <w:rPr>
          <w:sz w:val="22"/>
        </w:rPr>
      </w:pPr>
      <w:r w:rsidRPr="00FD74CD">
        <w:rPr>
          <w:sz w:val="22"/>
        </w:rPr>
        <w:t xml:space="preserve">This document is also available in Welsh / </w:t>
      </w:r>
      <w:proofErr w:type="spellStart"/>
      <w:r w:rsidRPr="00FD74CD">
        <w:rPr>
          <w:sz w:val="22"/>
        </w:rPr>
        <w:t>Mae’r</w:t>
      </w:r>
      <w:proofErr w:type="spellEnd"/>
      <w:r w:rsidRPr="00FD74CD">
        <w:rPr>
          <w:sz w:val="22"/>
        </w:rPr>
        <w:t xml:space="preserve"> </w:t>
      </w:r>
      <w:proofErr w:type="spellStart"/>
      <w:r w:rsidRPr="00FD74CD">
        <w:rPr>
          <w:sz w:val="22"/>
        </w:rPr>
        <w:t>ddogfen</w:t>
      </w:r>
      <w:proofErr w:type="spellEnd"/>
      <w:r w:rsidRPr="00FD74CD">
        <w:rPr>
          <w:sz w:val="22"/>
        </w:rPr>
        <w:t xml:space="preserve"> hon </w:t>
      </w:r>
      <w:proofErr w:type="spellStart"/>
      <w:r w:rsidRPr="00FD74CD">
        <w:rPr>
          <w:sz w:val="22"/>
        </w:rPr>
        <w:t>hefyd</w:t>
      </w:r>
      <w:proofErr w:type="spellEnd"/>
      <w:r w:rsidRPr="00FD74CD">
        <w:rPr>
          <w:sz w:val="22"/>
        </w:rPr>
        <w:t xml:space="preserve"> </w:t>
      </w:r>
      <w:proofErr w:type="spellStart"/>
      <w:r w:rsidRPr="00FD74CD">
        <w:rPr>
          <w:sz w:val="22"/>
        </w:rPr>
        <w:t>ar</w:t>
      </w:r>
      <w:proofErr w:type="spellEnd"/>
      <w:r w:rsidRPr="00FD74CD">
        <w:rPr>
          <w:sz w:val="22"/>
        </w:rPr>
        <w:t xml:space="preserve"> </w:t>
      </w:r>
      <w:proofErr w:type="spellStart"/>
      <w:r w:rsidRPr="00FD74CD">
        <w:rPr>
          <w:sz w:val="22"/>
        </w:rPr>
        <w:t>gael</w:t>
      </w:r>
      <w:proofErr w:type="spellEnd"/>
      <w:r w:rsidRPr="00FD74CD">
        <w:rPr>
          <w:sz w:val="22"/>
        </w:rPr>
        <w:t xml:space="preserve"> </w:t>
      </w:r>
      <w:proofErr w:type="spellStart"/>
      <w:r w:rsidRPr="00FD74CD">
        <w:rPr>
          <w:sz w:val="22"/>
        </w:rPr>
        <w:t>yn</w:t>
      </w:r>
      <w:proofErr w:type="spellEnd"/>
      <w:r w:rsidRPr="00FD74CD">
        <w:rPr>
          <w:sz w:val="22"/>
        </w:rPr>
        <w:t xml:space="preserve"> </w:t>
      </w:r>
      <w:proofErr w:type="spellStart"/>
      <w:r w:rsidRPr="00FD74CD">
        <w:rPr>
          <w:sz w:val="22"/>
        </w:rPr>
        <w:t>Gymraeg</w:t>
      </w:r>
      <w:proofErr w:type="spellEnd"/>
      <w:r>
        <w:rPr>
          <w:sz w:val="22"/>
        </w:rPr>
        <w: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196922108"/>
      <w:bookmarkStart w:id="4" w:name="_Toc98331446"/>
      <w:bookmarkStart w:id="5" w:name="_Toc100660104"/>
      <w:bookmarkStart w:id="6" w:name="_Toc211587862"/>
      <w:r>
        <w:t>Key Details</w:t>
      </w:r>
      <w:bookmarkEnd w:id="0"/>
      <w:bookmarkEnd w:id="1"/>
      <w:bookmarkEnd w:id="2"/>
      <w:bookmarkEnd w:id="3"/>
      <w:bookmarkEnd w:id="4"/>
      <w:bookmarkEnd w:id="5"/>
      <w:bookmarkEnd w:id="6"/>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59FBCDCB" w:rsidR="005D0B18" w:rsidRPr="00D9301C" w:rsidRDefault="001D2029" w:rsidP="00E62C64">
            <w:pPr>
              <w:rPr>
                <w:rStyle w:val="SubtleEmphasis"/>
              </w:rPr>
            </w:pPr>
            <w:r>
              <w:rPr>
                <w:rStyle w:val="SubtleEmphasis"/>
              </w:rPr>
              <w:t>Prevent</w:t>
            </w:r>
            <w:r w:rsidR="008509B7">
              <w:rPr>
                <w:rStyle w:val="SubtleEmphasis"/>
              </w:rPr>
              <w:t xml:space="preserve"> Policy </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19259542" w:rsidR="00424E11" w:rsidRPr="00D9301C" w:rsidRDefault="00FB425C" w:rsidP="00E62C64">
            <w:pPr>
              <w:rPr>
                <w:rStyle w:val="SubtleEmphasis"/>
              </w:rPr>
            </w:pPr>
            <w:r>
              <w:rPr>
                <w:rStyle w:val="SubtleEmphasis"/>
              </w:rPr>
              <w:t>17</w:t>
            </w:r>
            <w:r w:rsidR="00FE2C3C" w:rsidRPr="00D9301C">
              <w:rPr>
                <w:rStyle w:val="SubtleEmphasis"/>
              </w:rPr>
              <w:t xml:space="preserve"> </w:t>
            </w:r>
            <w:r w:rsidR="008026BD">
              <w:rPr>
                <w:rStyle w:val="SubtleEmphasis"/>
              </w:rPr>
              <w:t xml:space="preserve">November </w:t>
            </w:r>
            <w:r w:rsidR="00CF64AE">
              <w:rPr>
                <w:rStyle w:val="SubtleEmphasis"/>
              </w:rPr>
              <w:t>20</w:t>
            </w:r>
            <w:r w:rsidR="00326CBD">
              <w:rPr>
                <w:rStyle w:val="SubtleEmphasis"/>
              </w:rPr>
              <w:t>2</w:t>
            </w:r>
            <w:r w:rsidR="00EE64DB">
              <w:rPr>
                <w:rStyle w:val="SubtleEmphasis"/>
              </w:rPr>
              <w:t>5</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78C809A0" w:rsidR="00424E11" w:rsidRPr="00D9301C" w:rsidRDefault="00EE64DB" w:rsidP="00E62C64">
            <w:pPr>
              <w:rPr>
                <w:rStyle w:val="SubtleEmphasis"/>
              </w:rPr>
            </w:pPr>
            <w:r>
              <w:rPr>
                <w:rStyle w:val="SubtleEmphasis"/>
              </w:rPr>
              <w:t>A</w:t>
            </w:r>
            <w:r w:rsidR="00FB425C">
              <w:rPr>
                <w:rStyle w:val="SubtleEmphasis"/>
              </w:rPr>
              <w:t>udit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618FDE1A" w:rsidR="00424E11" w:rsidRPr="00D9301C" w:rsidRDefault="00E943E3" w:rsidP="00E62C64">
            <w:pPr>
              <w:rPr>
                <w:rStyle w:val="SubtleEmphasis"/>
              </w:rPr>
            </w:pPr>
            <w:r>
              <w:rPr>
                <w:rStyle w:val="SubtleEmphasis"/>
              </w:rPr>
              <w:t>4</w:t>
            </w:r>
            <w:r w:rsidR="008509B7">
              <w:rPr>
                <w:rStyle w:val="SubtleEmphasis"/>
              </w:rPr>
              <w:t>.0</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67486608" w:rsidR="00424E11" w:rsidRPr="00D9301C" w:rsidRDefault="00B67587" w:rsidP="00E62C64">
            <w:pPr>
              <w:rPr>
                <w:rStyle w:val="SubtleEmphasis"/>
              </w:rPr>
            </w:pPr>
            <w:r>
              <w:rPr>
                <w:rStyle w:val="SubtleEmphasis"/>
              </w:rPr>
              <w:t>October</w:t>
            </w:r>
            <w:r w:rsidR="00510E3B">
              <w:rPr>
                <w:rStyle w:val="SubtleEmphasis"/>
              </w:rPr>
              <w:t xml:space="preserve"> 202</w:t>
            </w:r>
            <w:r>
              <w:rPr>
                <w:rStyle w:val="SubtleEmphasis"/>
              </w:rPr>
              <w:t>1</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5F7F31E6" w:rsidR="00424E11" w:rsidRPr="00D9301C" w:rsidRDefault="00B67587" w:rsidP="00E62C64">
            <w:pPr>
              <w:rPr>
                <w:rStyle w:val="SubtleEmphasis"/>
              </w:rPr>
            </w:pPr>
            <w:r>
              <w:rPr>
                <w:rStyle w:val="SubtleEmphasis"/>
              </w:rPr>
              <w:t>November</w:t>
            </w:r>
            <w:r w:rsidR="00510E3B">
              <w:rPr>
                <w:rStyle w:val="SubtleEmphasis"/>
              </w:rPr>
              <w:t xml:space="preserve"> 202</w:t>
            </w:r>
            <w:r>
              <w:rPr>
                <w:rStyle w:val="SubtleEmphasis"/>
              </w:rPr>
              <w:t>8</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71DE600D" w:rsidR="00D9301C" w:rsidRPr="00EC2C8F" w:rsidRDefault="00D9301C" w:rsidP="00D9301C">
            <w:pPr>
              <w:pStyle w:val="CommentText"/>
              <w:rPr>
                <w:i/>
                <w:iCs/>
                <w:color w:val="404040" w:themeColor="text1" w:themeTint="BF"/>
                <w:sz w:val="24"/>
                <w:szCs w:val="24"/>
              </w:rPr>
            </w:pPr>
            <w:r w:rsidRPr="00EC2C8F">
              <w:rPr>
                <w:i/>
                <w:iCs/>
                <w:color w:val="404040" w:themeColor="text1" w:themeTint="BF"/>
                <w:sz w:val="24"/>
                <w:szCs w:val="24"/>
              </w:rPr>
              <w:t xml:space="preserve">* </w:t>
            </w:r>
            <w:r w:rsidR="008509B7" w:rsidRPr="003860B9">
              <w:t>Proceed with no major change</w:t>
            </w:r>
          </w:p>
          <w:p w14:paraId="5E9D3418" w14:textId="5DD72B98" w:rsidR="00510E3B" w:rsidRPr="00EC2C8F" w:rsidRDefault="00510E3B" w:rsidP="00510E3B">
            <w:pPr>
              <w:pStyle w:val="CommentText"/>
              <w:rPr>
                <w:i/>
                <w:iCs/>
                <w:color w:val="404040" w:themeColor="text1" w:themeTint="BF"/>
                <w:szCs w:val="24"/>
              </w:rPr>
            </w:pPr>
          </w:p>
          <w:p w14:paraId="3F09CB51" w14:textId="44809948"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7E9887A9" w14:textId="369554D0" w:rsidR="00510E3B" w:rsidRDefault="00510E3B" w:rsidP="00E62C64">
            <w:pPr>
              <w:rPr>
                <w:rStyle w:val="SubtleEmphasis"/>
              </w:rPr>
            </w:pPr>
          </w:p>
          <w:p w14:paraId="27701087" w14:textId="70C188B5" w:rsidR="008509B7" w:rsidRDefault="00C17055" w:rsidP="00D74743">
            <w:pPr>
              <w:pStyle w:val="ListParagraph"/>
              <w:numPr>
                <w:ilvl w:val="0"/>
                <w:numId w:val="30"/>
              </w:numPr>
              <w:ind w:left="343" w:hanging="284"/>
              <w:rPr>
                <w:rStyle w:val="SubtleEmphasis"/>
              </w:rPr>
            </w:pPr>
            <w:r>
              <w:rPr>
                <w:rStyle w:val="SubtleEmphasis"/>
              </w:rPr>
              <w:t>Code of Practice on Freedom of Speech</w:t>
            </w:r>
          </w:p>
          <w:p w14:paraId="1136D7B3" w14:textId="129C9A86" w:rsidR="008509B7" w:rsidRDefault="00657074" w:rsidP="008509B7">
            <w:pPr>
              <w:pStyle w:val="ListParagraph"/>
              <w:numPr>
                <w:ilvl w:val="0"/>
                <w:numId w:val="30"/>
              </w:numPr>
              <w:ind w:left="343" w:hanging="284"/>
              <w:rPr>
                <w:rStyle w:val="SubtleEmphasis"/>
              </w:rPr>
            </w:pPr>
            <w:r>
              <w:rPr>
                <w:rStyle w:val="SubtleEmphasis"/>
              </w:rPr>
              <w:t xml:space="preserve">Equality, Diversity and Inclusion </w:t>
            </w:r>
            <w:r w:rsidR="008509B7">
              <w:rPr>
                <w:rStyle w:val="SubtleEmphasis"/>
              </w:rPr>
              <w:t>Policy</w:t>
            </w:r>
          </w:p>
          <w:p w14:paraId="5F530D13" w14:textId="77777777" w:rsidR="00CF64AE" w:rsidRDefault="00CF64AE" w:rsidP="00E62C64">
            <w:pPr>
              <w:rPr>
                <w:rStyle w:val="SubtleEmphasis"/>
              </w:rPr>
            </w:pPr>
          </w:p>
          <w:p w14:paraId="33390210" w14:textId="6BE68B85" w:rsidR="00510E3B" w:rsidRDefault="00CF64AE" w:rsidP="00E62C64">
            <w:pPr>
              <w:rPr>
                <w:rStyle w:val="SubtleEmphasis"/>
              </w:rPr>
            </w:pPr>
            <w:hyperlink r:id="rId15" w:history="1">
              <w:r w:rsidRPr="00CF64AE">
                <w:rPr>
                  <w:color w:val="0000FF"/>
                  <w:u w:val="single"/>
                </w:rPr>
                <w:t>Policies | Cardiff Metropolitan University</w:t>
              </w:r>
            </w:hyperlink>
          </w:p>
          <w:p w14:paraId="5482948D" w14:textId="5E007607" w:rsidR="00510E3B" w:rsidRPr="00D9301C" w:rsidRDefault="00510E3B" w:rsidP="00D74743">
            <w:pPr>
              <w:rPr>
                <w:rStyle w:val="SubtleEmphasis"/>
              </w:rPr>
            </w:pP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73476713" w:rsidR="00424E11" w:rsidRPr="00D9301C" w:rsidRDefault="008509B7" w:rsidP="00E62C64">
            <w:pPr>
              <w:rPr>
                <w:rStyle w:val="SubtleEmphasis"/>
              </w:rPr>
            </w:pPr>
            <w:r>
              <w:rPr>
                <w:rStyle w:val="SubtleEmphasis"/>
              </w:rPr>
              <w:t>Immediate</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26C4197B" w:rsidR="00424E11" w:rsidRPr="00D9301C" w:rsidRDefault="008A41D3" w:rsidP="00E62C64">
            <w:pPr>
              <w:rPr>
                <w:rStyle w:val="SubtleEmphasis"/>
              </w:rPr>
            </w:pPr>
            <w:r>
              <w:rPr>
                <w:rStyle w:val="SubtleEmphasis"/>
              </w:rPr>
              <w:t>Head of Compliance</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48E71595" w:rsidR="00424E11" w:rsidRPr="00D9301C" w:rsidRDefault="00510E3B" w:rsidP="00E62C64">
            <w:pPr>
              <w:rPr>
                <w:rStyle w:val="SubtleEmphasis"/>
              </w:rPr>
            </w:pPr>
            <w:r>
              <w:rPr>
                <w:rStyle w:val="SubtleEmphasis"/>
              </w:rPr>
              <w:t>Secretariat</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5A5FF2BA" w:rsidR="00424E11" w:rsidRPr="00D9301C" w:rsidRDefault="008A41D3" w:rsidP="00E62C64">
            <w:pPr>
              <w:rPr>
                <w:rStyle w:val="SubtleEmphasis"/>
              </w:rPr>
            </w:pPr>
            <w:hyperlink r:id="rId16" w:history="1">
              <w:r w:rsidRPr="0096459D">
                <w:rPr>
                  <w:rStyle w:val="Hyperlink"/>
                </w:rPr>
                <w:t>safeguard@cardiffmet.ac.uk</w:t>
              </w:r>
            </w:hyperlink>
          </w:p>
        </w:tc>
      </w:tr>
    </w:tbl>
    <w:p w14:paraId="34FF043D" w14:textId="115BE5C9" w:rsidR="0098001E" w:rsidRDefault="00EE23DF" w:rsidP="00D74743">
      <w:pPr>
        <w:rPr>
          <w:rStyle w:val="SubtleEmphasis"/>
        </w:rPr>
      </w:pPr>
      <w:r>
        <w:rPr>
          <w:rStyle w:val="SubtleEmphasis"/>
        </w:rPr>
        <w:t xml:space="preserve"> </w:t>
      </w:r>
    </w:p>
    <w:p w14:paraId="26422EA8" w14:textId="022DB306" w:rsidR="00E62C64" w:rsidRDefault="00E62C64" w:rsidP="00D74743">
      <w:pPr>
        <w:pStyle w:val="Heading1"/>
        <w:numPr>
          <w:ilvl w:val="0"/>
          <w:numId w:val="0"/>
        </w:numPr>
        <w:ind w:left="431" w:hanging="431"/>
      </w:pPr>
      <w:bookmarkStart w:id="7" w:name="_Toc196922109"/>
      <w:bookmarkStart w:id="8" w:name="_Toc98331447"/>
      <w:bookmarkStart w:id="9" w:name="_Toc100660105"/>
      <w:bookmarkStart w:id="10" w:name="_Toc82757109"/>
      <w:bookmarkStart w:id="11" w:name="_Toc211587863"/>
      <w:r>
        <w:t>Version Control</w:t>
      </w:r>
      <w:bookmarkEnd w:id="7"/>
      <w:bookmarkEnd w:id="8"/>
      <w:bookmarkEnd w:id="9"/>
      <w:bookmarkEnd w:id="10"/>
      <w:bookmarkEnd w:id="11"/>
    </w:p>
    <w:tbl>
      <w:tblPr>
        <w:tblStyle w:val="TableGrid"/>
        <w:tblW w:w="0" w:type="auto"/>
        <w:tblLook w:val="04A0" w:firstRow="1" w:lastRow="0" w:firstColumn="1" w:lastColumn="0" w:noHBand="0" w:noVBand="1"/>
      </w:tblPr>
      <w:tblGrid>
        <w:gridCol w:w="1696"/>
        <w:gridCol w:w="2410"/>
        <w:gridCol w:w="4910"/>
      </w:tblGrid>
      <w:tr w:rsidR="008509B7" w:rsidRPr="00CD441C" w14:paraId="3C2913EC" w14:textId="77777777" w:rsidTr="00D74743">
        <w:tc>
          <w:tcPr>
            <w:tcW w:w="1696" w:type="dxa"/>
          </w:tcPr>
          <w:p w14:paraId="7F32D8EC" w14:textId="77777777" w:rsidR="008509B7" w:rsidRPr="00CD441C" w:rsidRDefault="008509B7">
            <w:pPr>
              <w:rPr>
                <w:rStyle w:val="SubtleEmphasis"/>
                <w:b/>
                <w:bCs/>
              </w:rPr>
            </w:pPr>
            <w:bookmarkStart w:id="12" w:name="_Toc73711327"/>
            <w:bookmarkStart w:id="13" w:name="_Toc73711702"/>
            <w:bookmarkStart w:id="14" w:name="_Toc73712006"/>
            <w:r w:rsidRPr="00CD441C">
              <w:rPr>
                <w:rStyle w:val="SubtleEmphasis"/>
                <w:b/>
                <w:bCs/>
              </w:rPr>
              <w:t>VERSION</w:t>
            </w:r>
          </w:p>
        </w:tc>
        <w:tc>
          <w:tcPr>
            <w:tcW w:w="2410" w:type="dxa"/>
          </w:tcPr>
          <w:p w14:paraId="5CB8C18E" w14:textId="77777777" w:rsidR="008509B7" w:rsidRPr="00CD441C" w:rsidRDefault="008509B7">
            <w:pPr>
              <w:rPr>
                <w:rStyle w:val="SubtleEmphasis"/>
                <w:b/>
                <w:bCs/>
              </w:rPr>
            </w:pPr>
            <w:r w:rsidRPr="00CD441C">
              <w:rPr>
                <w:rStyle w:val="SubtleEmphasis"/>
                <w:b/>
                <w:bCs/>
              </w:rPr>
              <w:t>DATE</w:t>
            </w:r>
          </w:p>
        </w:tc>
        <w:tc>
          <w:tcPr>
            <w:tcW w:w="4910" w:type="dxa"/>
          </w:tcPr>
          <w:p w14:paraId="36E64D1D" w14:textId="77777777" w:rsidR="008509B7" w:rsidRPr="00CD441C" w:rsidRDefault="008509B7">
            <w:pPr>
              <w:rPr>
                <w:rStyle w:val="SubtleEmphasis"/>
                <w:b/>
                <w:bCs/>
              </w:rPr>
            </w:pPr>
            <w:r w:rsidRPr="00CD441C">
              <w:rPr>
                <w:rStyle w:val="SubtleEmphasis"/>
                <w:b/>
                <w:bCs/>
              </w:rPr>
              <w:t>REASON FOR CHANGE</w:t>
            </w:r>
          </w:p>
        </w:tc>
      </w:tr>
      <w:tr w:rsidR="008509B7" w:rsidRPr="00CD441C" w14:paraId="4FBD0594" w14:textId="77777777" w:rsidTr="00D74743">
        <w:tc>
          <w:tcPr>
            <w:tcW w:w="1696" w:type="dxa"/>
          </w:tcPr>
          <w:p w14:paraId="0EEE1C07" w14:textId="58E36077" w:rsidR="008509B7" w:rsidRPr="00CD441C" w:rsidRDefault="005B47E5">
            <w:pPr>
              <w:rPr>
                <w:rStyle w:val="SubtleEmphasis"/>
              </w:rPr>
            </w:pPr>
            <w:r>
              <w:rPr>
                <w:rStyle w:val="SubtleEmphasis"/>
              </w:rPr>
              <w:t>3</w:t>
            </w:r>
            <w:r w:rsidR="008509B7">
              <w:rPr>
                <w:rStyle w:val="SubtleEmphasis"/>
              </w:rPr>
              <w:t>.0</w:t>
            </w:r>
          </w:p>
        </w:tc>
        <w:tc>
          <w:tcPr>
            <w:tcW w:w="2410" w:type="dxa"/>
          </w:tcPr>
          <w:p w14:paraId="5FB60378" w14:textId="40A2EC8E" w:rsidR="008509B7" w:rsidRPr="00CD441C" w:rsidRDefault="005B47E5">
            <w:pPr>
              <w:rPr>
                <w:rStyle w:val="SubtleEmphasis"/>
              </w:rPr>
            </w:pPr>
            <w:r>
              <w:rPr>
                <w:rStyle w:val="SubtleEmphasis"/>
              </w:rPr>
              <w:t>October 2020</w:t>
            </w:r>
          </w:p>
        </w:tc>
        <w:tc>
          <w:tcPr>
            <w:tcW w:w="4910" w:type="dxa"/>
          </w:tcPr>
          <w:p w14:paraId="64B00502" w14:textId="2DEF9DDE" w:rsidR="008509B7" w:rsidRPr="00CD441C" w:rsidRDefault="005B47E5">
            <w:pPr>
              <w:rPr>
                <w:rStyle w:val="SubtleEmphasis"/>
              </w:rPr>
            </w:pPr>
            <w:r>
              <w:rPr>
                <w:rStyle w:val="SubtleEmphasis"/>
              </w:rPr>
              <w:t>Third version</w:t>
            </w:r>
            <w:r w:rsidR="001B21A5">
              <w:rPr>
                <w:rStyle w:val="SubtleEmphasis"/>
              </w:rPr>
              <w:t xml:space="preserve">. Amend to take account organisational </w:t>
            </w:r>
            <w:r w:rsidR="002515FA">
              <w:rPr>
                <w:rStyle w:val="SubtleEmphasis"/>
              </w:rPr>
              <w:t>change and changes to the terror threat.</w:t>
            </w:r>
            <w:r w:rsidR="001B21A5">
              <w:rPr>
                <w:rStyle w:val="SubtleEmphasis"/>
              </w:rPr>
              <w:t xml:space="preserve"> </w:t>
            </w:r>
          </w:p>
        </w:tc>
      </w:tr>
      <w:tr w:rsidR="008509B7" w:rsidRPr="00CD441C" w14:paraId="6B531514" w14:textId="77777777" w:rsidTr="00D74743">
        <w:tc>
          <w:tcPr>
            <w:tcW w:w="1696" w:type="dxa"/>
          </w:tcPr>
          <w:p w14:paraId="218BCF2A" w14:textId="38BD90A4" w:rsidR="008509B7" w:rsidRPr="00CD441C" w:rsidRDefault="002515FA">
            <w:pPr>
              <w:rPr>
                <w:rStyle w:val="SubtleEmphasis"/>
              </w:rPr>
            </w:pPr>
            <w:r>
              <w:rPr>
                <w:rStyle w:val="SubtleEmphasis"/>
              </w:rPr>
              <w:t>3</w:t>
            </w:r>
            <w:r w:rsidR="008509B7">
              <w:rPr>
                <w:rStyle w:val="SubtleEmphasis"/>
              </w:rPr>
              <w:t>.</w:t>
            </w:r>
            <w:r>
              <w:rPr>
                <w:rStyle w:val="SubtleEmphasis"/>
              </w:rPr>
              <w:t>1</w:t>
            </w:r>
          </w:p>
        </w:tc>
        <w:tc>
          <w:tcPr>
            <w:tcW w:w="2410" w:type="dxa"/>
          </w:tcPr>
          <w:p w14:paraId="0B975447" w14:textId="05189110" w:rsidR="008509B7" w:rsidRPr="00CD441C" w:rsidRDefault="002515FA">
            <w:pPr>
              <w:rPr>
                <w:rStyle w:val="SubtleEmphasis"/>
              </w:rPr>
            </w:pPr>
            <w:r>
              <w:rPr>
                <w:rStyle w:val="SubtleEmphasis"/>
              </w:rPr>
              <w:t>October</w:t>
            </w:r>
            <w:r w:rsidR="008509B7">
              <w:rPr>
                <w:rStyle w:val="SubtleEmphasis"/>
              </w:rPr>
              <w:t xml:space="preserve"> 20</w:t>
            </w:r>
            <w:r>
              <w:rPr>
                <w:rStyle w:val="SubtleEmphasis"/>
              </w:rPr>
              <w:t>21</w:t>
            </w:r>
          </w:p>
        </w:tc>
        <w:tc>
          <w:tcPr>
            <w:tcW w:w="4910" w:type="dxa"/>
          </w:tcPr>
          <w:p w14:paraId="4788EF59" w14:textId="6A9CC367" w:rsidR="008509B7" w:rsidRPr="00CD441C" w:rsidRDefault="002515FA">
            <w:pPr>
              <w:rPr>
                <w:rStyle w:val="SubtleEmphasis"/>
              </w:rPr>
            </w:pPr>
            <w:r>
              <w:rPr>
                <w:rStyle w:val="SubtleEmphasis"/>
              </w:rPr>
              <w:t>Light-touch review</w:t>
            </w:r>
            <w:r w:rsidR="00600907">
              <w:rPr>
                <w:rStyle w:val="SubtleEmphasis"/>
              </w:rPr>
              <w:t>. Changes made to use new policy template and amendment to para</w:t>
            </w:r>
            <w:r w:rsidR="006A60D7">
              <w:rPr>
                <w:rStyle w:val="SubtleEmphasis"/>
              </w:rPr>
              <w:t xml:space="preserve"> 6.4.</w:t>
            </w:r>
            <w:r w:rsidR="00600907">
              <w:rPr>
                <w:rStyle w:val="SubtleEmphasis"/>
              </w:rPr>
              <w:t xml:space="preserve"> </w:t>
            </w:r>
          </w:p>
        </w:tc>
      </w:tr>
      <w:tr w:rsidR="008509B7" w:rsidRPr="00CD441C" w14:paraId="5F52F492" w14:textId="77777777">
        <w:tc>
          <w:tcPr>
            <w:tcW w:w="1696" w:type="dxa"/>
          </w:tcPr>
          <w:p w14:paraId="6D5C81BF" w14:textId="25FBE6F9" w:rsidR="008509B7" w:rsidRDefault="006A60D7">
            <w:pPr>
              <w:rPr>
                <w:rStyle w:val="SubtleEmphasis"/>
              </w:rPr>
            </w:pPr>
            <w:r>
              <w:rPr>
                <w:rStyle w:val="SubtleEmphasis"/>
              </w:rPr>
              <w:lastRenderedPageBreak/>
              <w:t>4</w:t>
            </w:r>
            <w:r w:rsidR="008509B7">
              <w:rPr>
                <w:rStyle w:val="SubtleEmphasis"/>
              </w:rPr>
              <w:t>.0</w:t>
            </w:r>
          </w:p>
        </w:tc>
        <w:tc>
          <w:tcPr>
            <w:tcW w:w="2410" w:type="dxa"/>
          </w:tcPr>
          <w:p w14:paraId="10EA625E" w14:textId="6473CDB4" w:rsidR="008509B7" w:rsidRPr="00CD441C" w:rsidRDefault="00FB425C">
            <w:pPr>
              <w:rPr>
                <w:rStyle w:val="SubtleEmphasis"/>
              </w:rPr>
            </w:pPr>
            <w:r>
              <w:rPr>
                <w:rStyle w:val="SubtleEmphasis"/>
              </w:rPr>
              <w:t>November</w:t>
            </w:r>
            <w:r w:rsidR="008509B7">
              <w:rPr>
                <w:rStyle w:val="SubtleEmphasis"/>
              </w:rPr>
              <w:t xml:space="preserve"> 2</w:t>
            </w:r>
            <w:r w:rsidR="002B4062">
              <w:rPr>
                <w:rStyle w:val="SubtleEmphasis"/>
              </w:rPr>
              <w:t>025</w:t>
            </w:r>
          </w:p>
        </w:tc>
        <w:tc>
          <w:tcPr>
            <w:tcW w:w="4910" w:type="dxa"/>
          </w:tcPr>
          <w:p w14:paraId="0ACC6BDF" w14:textId="7C39FEE5" w:rsidR="008509B7" w:rsidRPr="00CD441C" w:rsidRDefault="002B4062">
            <w:pPr>
              <w:rPr>
                <w:rStyle w:val="SubtleEmphasis"/>
              </w:rPr>
            </w:pPr>
            <w:r>
              <w:rPr>
                <w:rStyle w:val="SubtleEmphasis"/>
              </w:rPr>
              <w:t xml:space="preserve">Fourth version. Policy review and amend to </w:t>
            </w:r>
            <w:r w:rsidR="008C7086">
              <w:rPr>
                <w:rStyle w:val="SubtleEmphasis"/>
              </w:rPr>
              <w:t>take account revised Home Office Guidance, and organisational changes,</w:t>
            </w:r>
          </w:p>
        </w:tc>
      </w:tr>
    </w:tbl>
    <w:p w14:paraId="12A0BC07" w14:textId="234AE89E" w:rsidR="00084894" w:rsidRPr="00376449" w:rsidRDefault="00084894" w:rsidP="00376449">
      <w:pPr>
        <w:rPr>
          <w:szCs w:val="24"/>
        </w:rPr>
      </w:pPr>
    </w:p>
    <w:p w14:paraId="2FD28679" w14:textId="06F2E0E4" w:rsidR="00351D20" w:rsidRDefault="00351D20" w:rsidP="00E90874">
      <w:pPr>
        <w:pStyle w:val="Heading1"/>
        <w:numPr>
          <w:ilvl w:val="0"/>
          <w:numId w:val="0"/>
        </w:numPr>
      </w:pPr>
      <w:bookmarkStart w:id="15" w:name="_Toc196922110"/>
      <w:bookmarkStart w:id="16" w:name="_Toc211587864"/>
      <w:bookmarkEnd w:id="12"/>
      <w:bookmarkEnd w:id="13"/>
      <w:bookmarkEnd w:id="14"/>
      <w:r>
        <w:t>Policy Hub</w:t>
      </w:r>
      <w:bookmarkEnd w:id="15"/>
      <w:bookmarkEnd w:id="16"/>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7"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8" w:history="1">
        <w:r>
          <w:rPr>
            <w:rStyle w:val="Hyperlink"/>
          </w:rPr>
          <w:t>cardiffmet.ac.uk/about/</w:t>
        </w:r>
        <w:proofErr w:type="spellStart"/>
        <w:r>
          <w:rPr>
            <w:rStyle w:val="Hyperlink"/>
          </w:rPr>
          <w:t>policyhub</w:t>
        </w:r>
        <w:proofErr w:type="spellEnd"/>
      </w:hyperlink>
      <w:r w:rsidR="00351D20">
        <w:t>; or</w:t>
      </w:r>
    </w:p>
    <w:p w14:paraId="5024C122" w14:textId="21C389AE" w:rsidR="00B65212" w:rsidRDefault="00351D20" w:rsidP="00EC2C8F">
      <w:pPr>
        <w:pStyle w:val="ActionPoints"/>
      </w:pPr>
      <w:r>
        <w:t xml:space="preserve">Contact </w:t>
      </w:r>
      <w:hyperlink r:id="rId19" w:history="1">
        <w:r w:rsidRPr="006F0BC0">
          <w:rPr>
            <w:rStyle w:val="Hyperlink"/>
          </w:rPr>
          <w:t>policies@cardiffmet.ac.uk</w:t>
        </w:r>
      </w:hyperlink>
      <w:r w:rsidR="00260329">
        <w:t>.</w:t>
      </w:r>
      <w:r>
        <w:t xml:space="preserve"> </w:t>
      </w:r>
      <w:r w:rsidR="00B65212">
        <w:br w:type="page"/>
      </w:r>
    </w:p>
    <w:sdt>
      <w:sdtPr>
        <w:rPr>
          <w:rFonts w:cs="Arial"/>
          <w:szCs w:val="24"/>
          <w:shd w:val="clear" w:color="auto" w:fill="E6E6E6"/>
        </w:rPr>
        <w:id w:val="869342007"/>
        <w:docPartObj>
          <w:docPartGallery w:val="Table of Contents"/>
          <w:docPartUnique/>
        </w:docPartObj>
      </w:sdtPr>
      <w:sdtEndPr>
        <w:rPr>
          <w:b/>
          <w:bCs/>
          <w:noProof/>
        </w:rPr>
      </w:sdtEndPr>
      <w:sdtContent>
        <w:p w14:paraId="6D5EBC69" w14:textId="77777777" w:rsidR="00C75A6A" w:rsidRPr="00C75A6A" w:rsidRDefault="00176A6B">
          <w:pPr>
            <w:pStyle w:val="TOC1"/>
            <w:tabs>
              <w:tab w:val="right" w:leader="dot" w:pos="9016"/>
            </w:tabs>
            <w:rPr>
              <w:rFonts w:cs="Arial"/>
              <w:noProof/>
              <w:szCs w:val="24"/>
            </w:rPr>
          </w:pPr>
          <w:r w:rsidRPr="00D74743">
            <w:rPr>
              <w:rStyle w:val="Heading1Char"/>
              <w:rFonts w:ascii="Arial" w:hAnsi="Arial" w:cs="Arial"/>
              <w:sz w:val="24"/>
              <w:szCs w:val="24"/>
            </w:rPr>
            <w:t>Contents</w:t>
          </w:r>
          <w:r w:rsidR="00AD708A" w:rsidRPr="00C75A6A">
            <w:rPr>
              <w:rStyle w:val="Heading1Char"/>
              <w:rFonts w:ascii="Arial" w:hAnsi="Arial" w:cs="Arial"/>
              <w:sz w:val="24"/>
              <w:szCs w:val="24"/>
            </w:rPr>
            <w:t xml:space="preserve"> </w:t>
          </w:r>
          <w:r w:rsidRPr="00C75A6A">
            <w:rPr>
              <w:rFonts w:eastAsiaTheme="majorEastAsia" w:cs="Arial"/>
              <w:color w:val="2B579A"/>
              <w:szCs w:val="24"/>
              <w:shd w:val="clear" w:color="auto" w:fill="E6E6E6"/>
              <w:lang w:val="en-US"/>
            </w:rPr>
            <w:fldChar w:fldCharType="begin"/>
          </w:r>
          <w:r w:rsidRPr="00C75A6A">
            <w:rPr>
              <w:rFonts w:cs="Arial"/>
              <w:szCs w:val="24"/>
            </w:rPr>
            <w:instrText xml:space="preserve"> TOC \o "1-1" \h \z \u </w:instrText>
          </w:r>
          <w:r w:rsidRPr="00C75A6A">
            <w:rPr>
              <w:rFonts w:eastAsiaTheme="majorEastAsia" w:cs="Arial"/>
              <w:color w:val="2B579A"/>
              <w:szCs w:val="24"/>
              <w:shd w:val="clear" w:color="auto" w:fill="E6E6E6"/>
              <w:lang w:val="en-US"/>
            </w:rPr>
            <w:fldChar w:fldCharType="separate"/>
          </w:r>
        </w:p>
        <w:p w14:paraId="666EF1DE" w14:textId="1DA168B0" w:rsidR="00C75A6A" w:rsidRPr="00C75A6A" w:rsidRDefault="00C75A6A">
          <w:pPr>
            <w:pStyle w:val="TOC1"/>
            <w:tabs>
              <w:tab w:val="right" w:leader="dot" w:pos="9016"/>
            </w:tabs>
            <w:rPr>
              <w:rFonts w:eastAsiaTheme="minorEastAsia" w:cs="Arial"/>
              <w:noProof/>
              <w:color w:val="auto"/>
              <w:kern w:val="2"/>
              <w:szCs w:val="24"/>
              <w:lang w:eastAsia="en-GB"/>
              <w14:ligatures w14:val="standardContextual"/>
            </w:rPr>
          </w:pPr>
          <w:hyperlink w:anchor="_Toc211587862" w:history="1">
            <w:r w:rsidRPr="00C75A6A">
              <w:rPr>
                <w:rStyle w:val="Hyperlink"/>
                <w:rFonts w:cs="Arial"/>
                <w:noProof/>
                <w:szCs w:val="24"/>
              </w:rPr>
              <w:t>Key Details</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_Toc211587862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1</w:t>
            </w:r>
            <w:r w:rsidRPr="00C75A6A">
              <w:rPr>
                <w:rFonts w:cs="Arial"/>
                <w:noProof/>
                <w:webHidden/>
                <w:szCs w:val="24"/>
              </w:rPr>
              <w:fldChar w:fldCharType="end"/>
            </w:r>
          </w:hyperlink>
        </w:p>
        <w:p w14:paraId="4941B6E0" w14:textId="78C87AD8" w:rsidR="00C75A6A" w:rsidRPr="00C75A6A" w:rsidRDefault="00C75A6A">
          <w:pPr>
            <w:pStyle w:val="TOC1"/>
            <w:tabs>
              <w:tab w:val="right" w:leader="dot" w:pos="9016"/>
            </w:tabs>
            <w:rPr>
              <w:rFonts w:eastAsiaTheme="minorEastAsia" w:cs="Arial"/>
              <w:noProof/>
              <w:color w:val="auto"/>
              <w:kern w:val="2"/>
              <w:szCs w:val="24"/>
              <w:lang w:eastAsia="en-GB"/>
              <w14:ligatures w14:val="standardContextual"/>
            </w:rPr>
          </w:pPr>
          <w:hyperlink w:anchor="_Toc211587863" w:history="1">
            <w:r w:rsidRPr="00C75A6A">
              <w:rPr>
                <w:rStyle w:val="Hyperlink"/>
                <w:rFonts w:cs="Arial"/>
                <w:noProof/>
                <w:szCs w:val="24"/>
              </w:rPr>
              <w:t>Version Control</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_Toc211587863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1</w:t>
            </w:r>
            <w:r w:rsidRPr="00C75A6A">
              <w:rPr>
                <w:rFonts w:cs="Arial"/>
                <w:noProof/>
                <w:webHidden/>
                <w:szCs w:val="24"/>
              </w:rPr>
              <w:fldChar w:fldCharType="end"/>
            </w:r>
          </w:hyperlink>
        </w:p>
        <w:p w14:paraId="7911986C" w14:textId="696AF76B" w:rsidR="00C75A6A" w:rsidRPr="00C75A6A" w:rsidRDefault="00C75A6A">
          <w:pPr>
            <w:pStyle w:val="TOC1"/>
            <w:tabs>
              <w:tab w:val="right" w:leader="dot" w:pos="9016"/>
            </w:tabs>
            <w:rPr>
              <w:rFonts w:eastAsiaTheme="minorEastAsia" w:cs="Arial"/>
              <w:noProof/>
              <w:color w:val="auto"/>
              <w:kern w:val="2"/>
              <w:szCs w:val="24"/>
              <w:lang w:eastAsia="en-GB"/>
              <w14:ligatures w14:val="standardContextual"/>
            </w:rPr>
          </w:pPr>
          <w:hyperlink w:anchor="_Toc211587864" w:history="1">
            <w:r w:rsidRPr="00C75A6A">
              <w:rPr>
                <w:rStyle w:val="Hyperlink"/>
                <w:rFonts w:cs="Arial"/>
                <w:noProof/>
                <w:szCs w:val="24"/>
              </w:rPr>
              <w:t>Policy Hub</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_Toc211587864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2</w:t>
            </w:r>
            <w:r w:rsidRPr="00C75A6A">
              <w:rPr>
                <w:rFonts w:cs="Arial"/>
                <w:noProof/>
                <w:webHidden/>
                <w:szCs w:val="24"/>
              </w:rPr>
              <w:fldChar w:fldCharType="end"/>
            </w:r>
          </w:hyperlink>
        </w:p>
        <w:p w14:paraId="33115A66" w14:textId="50F40782" w:rsidR="00C75A6A" w:rsidRPr="00C75A6A" w:rsidRDefault="00C75A6A">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11587866" w:history="1">
            <w:r w:rsidRPr="00C75A6A">
              <w:rPr>
                <w:rStyle w:val="Hyperlink"/>
                <w:rFonts w:eastAsiaTheme="majorEastAsia" w:cs="Arial"/>
                <w:noProof/>
                <w:szCs w:val="24"/>
              </w:rPr>
              <w:t>1</w:t>
            </w:r>
            <w:r w:rsidRPr="00C75A6A">
              <w:rPr>
                <w:rFonts w:eastAsiaTheme="minorEastAsia" w:cs="Arial"/>
                <w:noProof/>
                <w:color w:val="auto"/>
                <w:kern w:val="2"/>
                <w:szCs w:val="24"/>
                <w:lang w:eastAsia="en-GB"/>
                <w14:ligatures w14:val="standardContextual"/>
              </w:rPr>
              <w:tab/>
            </w:r>
            <w:r w:rsidRPr="00C75A6A">
              <w:rPr>
                <w:rStyle w:val="Hyperlink"/>
                <w:rFonts w:cs="Arial"/>
                <w:noProof/>
                <w:szCs w:val="24"/>
              </w:rPr>
              <w:t>Purpose</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_Toc211587866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4</w:t>
            </w:r>
            <w:r w:rsidRPr="00C75A6A">
              <w:rPr>
                <w:rFonts w:cs="Arial"/>
                <w:noProof/>
                <w:webHidden/>
                <w:szCs w:val="24"/>
              </w:rPr>
              <w:fldChar w:fldCharType="end"/>
            </w:r>
          </w:hyperlink>
        </w:p>
        <w:p w14:paraId="3BC5DBF0" w14:textId="78F5FF8B" w:rsidR="00C75A6A" w:rsidRPr="00C75A6A" w:rsidRDefault="00C75A6A">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11587867" w:history="1">
            <w:r w:rsidRPr="00C75A6A">
              <w:rPr>
                <w:rStyle w:val="Hyperlink"/>
                <w:rFonts w:eastAsiaTheme="majorEastAsia" w:cs="Arial"/>
                <w:noProof/>
                <w:szCs w:val="24"/>
              </w:rPr>
              <w:t>2</w:t>
            </w:r>
            <w:r w:rsidRPr="00C75A6A">
              <w:rPr>
                <w:rFonts w:eastAsiaTheme="minorEastAsia" w:cs="Arial"/>
                <w:noProof/>
                <w:color w:val="auto"/>
                <w:kern w:val="2"/>
                <w:szCs w:val="24"/>
                <w:lang w:eastAsia="en-GB"/>
                <w14:ligatures w14:val="standardContextual"/>
              </w:rPr>
              <w:tab/>
            </w:r>
            <w:r w:rsidRPr="00C75A6A">
              <w:rPr>
                <w:rStyle w:val="Hyperlink"/>
                <w:rFonts w:cs="Arial"/>
                <w:noProof/>
                <w:szCs w:val="24"/>
              </w:rPr>
              <w:t>Scope</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_Toc211587867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4</w:t>
            </w:r>
            <w:r w:rsidRPr="00C75A6A">
              <w:rPr>
                <w:rFonts w:cs="Arial"/>
                <w:noProof/>
                <w:webHidden/>
                <w:szCs w:val="24"/>
              </w:rPr>
              <w:fldChar w:fldCharType="end"/>
            </w:r>
          </w:hyperlink>
        </w:p>
        <w:p w14:paraId="30935AB5" w14:textId="36976F7D" w:rsidR="00C75A6A" w:rsidRPr="00C75A6A" w:rsidRDefault="00C75A6A">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11587869" w:history="1">
            <w:r w:rsidRPr="00C75A6A">
              <w:rPr>
                <w:rStyle w:val="Hyperlink"/>
                <w:rFonts w:eastAsiaTheme="majorEastAsia" w:cs="Arial"/>
                <w:noProof/>
                <w:szCs w:val="24"/>
              </w:rPr>
              <w:t>3</w:t>
            </w:r>
            <w:r w:rsidRPr="00C75A6A">
              <w:rPr>
                <w:rFonts w:eastAsiaTheme="minorEastAsia" w:cs="Arial"/>
                <w:noProof/>
                <w:color w:val="auto"/>
                <w:kern w:val="2"/>
                <w:szCs w:val="24"/>
                <w:lang w:eastAsia="en-GB"/>
                <w14:ligatures w14:val="standardContextual"/>
              </w:rPr>
              <w:tab/>
            </w:r>
            <w:r w:rsidRPr="00C75A6A">
              <w:rPr>
                <w:rStyle w:val="Hyperlink"/>
                <w:rFonts w:cs="Arial"/>
                <w:noProof/>
                <w:szCs w:val="24"/>
              </w:rPr>
              <w:t>Definitions</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_Toc211587869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4</w:t>
            </w:r>
            <w:r w:rsidRPr="00C75A6A">
              <w:rPr>
                <w:rFonts w:cs="Arial"/>
                <w:noProof/>
                <w:webHidden/>
                <w:szCs w:val="24"/>
              </w:rPr>
              <w:fldChar w:fldCharType="end"/>
            </w:r>
          </w:hyperlink>
        </w:p>
        <w:p w14:paraId="200BA766" w14:textId="0912B64B" w:rsidR="00C75A6A" w:rsidRPr="00C75A6A" w:rsidRDefault="00C75A6A">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11587870" w:history="1">
            <w:r w:rsidRPr="00C75A6A">
              <w:rPr>
                <w:rStyle w:val="Hyperlink"/>
                <w:rFonts w:cs="Arial"/>
                <w:noProof/>
                <w:szCs w:val="24"/>
              </w:rPr>
              <w:t>4</w:t>
            </w:r>
            <w:r w:rsidRPr="00C75A6A">
              <w:rPr>
                <w:rFonts w:eastAsiaTheme="minorEastAsia" w:cs="Arial"/>
                <w:noProof/>
                <w:color w:val="auto"/>
                <w:kern w:val="2"/>
                <w:szCs w:val="24"/>
                <w:lang w:eastAsia="en-GB"/>
                <w14:ligatures w14:val="standardContextual"/>
              </w:rPr>
              <w:tab/>
            </w:r>
            <w:r w:rsidRPr="00C75A6A">
              <w:rPr>
                <w:rStyle w:val="Hyperlink"/>
                <w:rFonts w:cs="Arial"/>
                <w:noProof/>
                <w:szCs w:val="24"/>
              </w:rPr>
              <w:t xml:space="preserve">Principles </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_Toc211587870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5</w:t>
            </w:r>
            <w:r w:rsidRPr="00C75A6A">
              <w:rPr>
                <w:rFonts w:cs="Arial"/>
                <w:noProof/>
                <w:webHidden/>
                <w:szCs w:val="24"/>
              </w:rPr>
              <w:fldChar w:fldCharType="end"/>
            </w:r>
          </w:hyperlink>
        </w:p>
        <w:p w14:paraId="7A21BF21" w14:textId="2257B273" w:rsidR="00C75A6A" w:rsidRPr="00C75A6A" w:rsidRDefault="00C75A6A">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11587871" w:history="1">
            <w:r w:rsidRPr="00C75A6A">
              <w:rPr>
                <w:rStyle w:val="Hyperlink"/>
                <w:rFonts w:eastAsiaTheme="majorEastAsia" w:cs="Arial"/>
                <w:noProof/>
                <w:szCs w:val="24"/>
              </w:rPr>
              <w:t>5</w:t>
            </w:r>
            <w:r w:rsidRPr="00C75A6A">
              <w:rPr>
                <w:rFonts w:eastAsiaTheme="minorEastAsia" w:cs="Arial"/>
                <w:noProof/>
                <w:color w:val="auto"/>
                <w:kern w:val="2"/>
                <w:szCs w:val="24"/>
                <w:lang w:eastAsia="en-GB"/>
                <w14:ligatures w14:val="standardContextual"/>
              </w:rPr>
              <w:tab/>
            </w:r>
            <w:r w:rsidRPr="00C75A6A">
              <w:rPr>
                <w:rStyle w:val="Hyperlink"/>
                <w:rFonts w:eastAsiaTheme="majorEastAsia" w:cs="Arial"/>
                <w:noProof/>
                <w:szCs w:val="24"/>
              </w:rPr>
              <w:t>Roles and Responsibilities</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_Toc211587871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5</w:t>
            </w:r>
            <w:r w:rsidRPr="00C75A6A">
              <w:rPr>
                <w:rFonts w:cs="Arial"/>
                <w:noProof/>
                <w:webHidden/>
                <w:szCs w:val="24"/>
              </w:rPr>
              <w:fldChar w:fldCharType="end"/>
            </w:r>
          </w:hyperlink>
        </w:p>
        <w:p w14:paraId="7BAE5556" w14:textId="03EF4FD0" w:rsidR="00C75A6A" w:rsidRPr="00C75A6A" w:rsidRDefault="00C75A6A">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11587872" w:history="1">
            <w:r w:rsidRPr="00C75A6A">
              <w:rPr>
                <w:rStyle w:val="Hyperlink"/>
                <w:rFonts w:eastAsiaTheme="majorEastAsia" w:cs="Arial"/>
                <w:noProof/>
                <w:szCs w:val="24"/>
              </w:rPr>
              <w:t>6</w:t>
            </w:r>
            <w:r w:rsidRPr="00C75A6A">
              <w:rPr>
                <w:rFonts w:eastAsiaTheme="minorEastAsia" w:cs="Arial"/>
                <w:noProof/>
                <w:color w:val="auto"/>
                <w:kern w:val="2"/>
                <w:szCs w:val="24"/>
                <w:lang w:eastAsia="en-GB"/>
                <w14:ligatures w14:val="standardContextual"/>
              </w:rPr>
              <w:tab/>
            </w:r>
            <w:r w:rsidRPr="00C75A6A">
              <w:rPr>
                <w:rStyle w:val="Hyperlink"/>
                <w:rFonts w:eastAsiaTheme="majorEastAsia" w:cs="Arial"/>
                <w:noProof/>
                <w:szCs w:val="24"/>
              </w:rPr>
              <w:t>Prevent Duty Co-ordination Group</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_Toc211587872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6</w:t>
            </w:r>
            <w:r w:rsidRPr="00C75A6A">
              <w:rPr>
                <w:rFonts w:cs="Arial"/>
                <w:noProof/>
                <w:webHidden/>
                <w:szCs w:val="24"/>
              </w:rPr>
              <w:fldChar w:fldCharType="end"/>
            </w:r>
          </w:hyperlink>
        </w:p>
        <w:p w14:paraId="6A0CCA49" w14:textId="71350893" w:rsidR="00C75A6A" w:rsidRPr="00C75A6A" w:rsidRDefault="00C75A6A">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11587873" w:history="1">
            <w:r w:rsidRPr="00C75A6A">
              <w:rPr>
                <w:rStyle w:val="Hyperlink"/>
                <w:rFonts w:eastAsiaTheme="majorEastAsia" w:cs="Arial"/>
                <w:noProof/>
                <w:szCs w:val="24"/>
              </w:rPr>
              <w:t>7</w:t>
            </w:r>
            <w:r w:rsidRPr="00C75A6A">
              <w:rPr>
                <w:rFonts w:eastAsiaTheme="minorEastAsia" w:cs="Arial"/>
                <w:noProof/>
                <w:color w:val="auto"/>
                <w:kern w:val="2"/>
                <w:szCs w:val="24"/>
                <w:lang w:eastAsia="en-GB"/>
                <w14:ligatures w14:val="standardContextual"/>
              </w:rPr>
              <w:tab/>
            </w:r>
            <w:r w:rsidRPr="00C75A6A">
              <w:rPr>
                <w:rStyle w:val="Hyperlink"/>
                <w:rFonts w:cs="Arial"/>
                <w:noProof/>
                <w:szCs w:val="24"/>
              </w:rPr>
              <w:t>Risk Assessment and Action Plan</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_Toc211587873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6</w:t>
            </w:r>
            <w:r w:rsidRPr="00C75A6A">
              <w:rPr>
                <w:rFonts w:cs="Arial"/>
                <w:noProof/>
                <w:webHidden/>
                <w:szCs w:val="24"/>
              </w:rPr>
              <w:fldChar w:fldCharType="end"/>
            </w:r>
          </w:hyperlink>
        </w:p>
        <w:p w14:paraId="07B95114" w14:textId="35DE9C60" w:rsidR="00C75A6A" w:rsidRPr="00C75A6A" w:rsidRDefault="00C75A6A">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11587875" w:history="1">
            <w:r w:rsidRPr="00C75A6A">
              <w:rPr>
                <w:rStyle w:val="Hyperlink"/>
                <w:rFonts w:cs="Arial"/>
                <w:noProof/>
                <w:szCs w:val="24"/>
              </w:rPr>
              <w:t>8</w:t>
            </w:r>
            <w:r w:rsidRPr="00C75A6A">
              <w:rPr>
                <w:rFonts w:eastAsiaTheme="minorEastAsia" w:cs="Arial"/>
                <w:noProof/>
                <w:color w:val="auto"/>
                <w:kern w:val="2"/>
                <w:szCs w:val="24"/>
                <w:lang w:eastAsia="en-GB"/>
                <w14:ligatures w14:val="standardContextual"/>
              </w:rPr>
              <w:tab/>
            </w:r>
            <w:r w:rsidRPr="00C75A6A">
              <w:rPr>
                <w:rStyle w:val="Hyperlink"/>
                <w:rFonts w:cs="Arial"/>
                <w:noProof/>
                <w:szCs w:val="24"/>
              </w:rPr>
              <w:t>Freedom of Speech and Academic Freedom</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_Toc211587875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6</w:t>
            </w:r>
            <w:r w:rsidRPr="00C75A6A">
              <w:rPr>
                <w:rFonts w:cs="Arial"/>
                <w:noProof/>
                <w:webHidden/>
                <w:szCs w:val="24"/>
              </w:rPr>
              <w:fldChar w:fldCharType="end"/>
            </w:r>
          </w:hyperlink>
        </w:p>
        <w:p w14:paraId="6B6817B9" w14:textId="4701770C" w:rsidR="00C75A6A" w:rsidRPr="00C75A6A" w:rsidRDefault="00C75A6A">
          <w:pPr>
            <w:pStyle w:val="TOC1"/>
            <w:tabs>
              <w:tab w:val="left" w:pos="440"/>
              <w:tab w:val="right" w:leader="dot" w:pos="9016"/>
            </w:tabs>
            <w:rPr>
              <w:rFonts w:eastAsiaTheme="minorEastAsia" w:cs="Arial"/>
              <w:noProof/>
              <w:color w:val="auto"/>
              <w:kern w:val="2"/>
              <w:szCs w:val="24"/>
              <w:lang w:eastAsia="en-GB"/>
              <w14:ligatures w14:val="standardContextual"/>
            </w:rPr>
          </w:pPr>
          <w:hyperlink w:anchor="_Toc211587876" w:history="1">
            <w:r w:rsidRPr="00C75A6A">
              <w:rPr>
                <w:rStyle w:val="Hyperlink"/>
                <w:rFonts w:eastAsiaTheme="majorEastAsia" w:cs="Arial"/>
                <w:noProof/>
                <w:szCs w:val="24"/>
              </w:rPr>
              <w:t>9</w:t>
            </w:r>
            <w:r w:rsidRPr="00C75A6A">
              <w:rPr>
                <w:rFonts w:eastAsiaTheme="minorEastAsia" w:cs="Arial"/>
                <w:noProof/>
                <w:color w:val="auto"/>
                <w:kern w:val="2"/>
                <w:szCs w:val="24"/>
                <w:lang w:eastAsia="en-GB"/>
                <w14:ligatures w14:val="standardContextual"/>
              </w:rPr>
              <w:tab/>
            </w:r>
            <w:r w:rsidRPr="00C75A6A">
              <w:rPr>
                <w:rStyle w:val="Hyperlink"/>
                <w:rFonts w:cs="Arial"/>
                <w:noProof/>
                <w:szCs w:val="24"/>
              </w:rPr>
              <w:t>Identification</w:t>
            </w:r>
            <w:r w:rsidRPr="00C75A6A">
              <w:rPr>
                <w:rStyle w:val="Hyperlink"/>
                <w:rFonts w:eastAsiaTheme="majorEastAsia" w:cs="Arial"/>
                <w:noProof/>
                <w:szCs w:val="24"/>
              </w:rPr>
              <w:t xml:space="preserve"> and</w:t>
            </w:r>
            <w:r w:rsidRPr="00C75A6A">
              <w:rPr>
                <w:rStyle w:val="Hyperlink"/>
                <w:rFonts w:cs="Arial"/>
                <w:noProof/>
                <w:szCs w:val="24"/>
              </w:rPr>
              <w:t xml:space="preserve"> Support of Vulnerable People</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_Toc211587876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6</w:t>
            </w:r>
            <w:r w:rsidRPr="00C75A6A">
              <w:rPr>
                <w:rFonts w:cs="Arial"/>
                <w:noProof/>
                <w:webHidden/>
                <w:szCs w:val="24"/>
              </w:rPr>
              <w:fldChar w:fldCharType="end"/>
            </w:r>
          </w:hyperlink>
        </w:p>
        <w:p w14:paraId="1362FB89" w14:textId="31BF5B92" w:rsidR="00C75A6A" w:rsidRPr="00C75A6A" w:rsidRDefault="00C75A6A">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11587877" w:history="1">
            <w:r w:rsidRPr="00C75A6A">
              <w:rPr>
                <w:rStyle w:val="Hyperlink"/>
                <w:rFonts w:eastAsiaTheme="majorEastAsia" w:cs="Arial"/>
                <w:noProof/>
                <w:szCs w:val="24"/>
              </w:rPr>
              <w:t>10</w:t>
            </w:r>
            <w:r w:rsidRPr="00C75A6A">
              <w:rPr>
                <w:rFonts w:eastAsiaTheme="minorEastAsia" w:cs="Arial"/>
                <w:noProof/>
                <w:color w:val="auto"/>
                <w:kern w:val="2"/>
                <w:szCs w:val="24"/>
                <w:lang w:eastAsia="en-GB"/>
                <w14:ligatures w14:val="standardContextual"/>
              </w:rPr>
              <w:tab/>
            </w:r>
            <w:r w:rsidRPr="00C75A6A">
              <w:rPr>
                <w:rStyle w:val="Hyperlink"/>
                <w:rFonts w:cs="Arial"/>
                <w:noProof/>
                <w:szCs w:val="24"/>
              </w:rPr>
              <w:t>Multifaith Chaplaincy</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_Toc211587877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7</w:t>
            </w:r>
            <w:r w:rsidRPr="00C75A6A">
              <w:rPr>
                <w:rFonts w:cs="Arial"/>
                <w:noProof/>
                <w:webHidden/>
                <w:szCs w:val="24"/>
              </w:rPr>
              <w:fldChar w:fldCharType="end"/>
            </w:r>
          </w:hyperlink>
        </w:p>
        <w:p w14:paraId="57587CD4" w14:textId="105B0E0C" w:rsidR="00C75A6A" w:rsidRPr="00C75A6A" w:rsidRDefault="00C75A6A">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11587878" w:history="1">
            <w:r w:rsidRPr="00C75A6A">
              <w:rPr>
                <w:rStyle w:val="Hyperlink"/>
                <w:rFonts w:eastAsiaTheme="majorEastAsia" w:cs="Arial"/>
                <w:noProof/>
                <w:szCs w:val="24"/>
              </w:rPr>
              <w:t>11</w:t>
            </w:r>
            <w:r w:rsidRPr="00C75A6A">
              <w:rPr>
                <w:rFonts w:eastAsiaTheme="minorEastAsia" w:cs="Arial"/>
                <w:noProof/>
                <w:color w:val="auto"/>
                <w:kern w:val="2"/>
                <w:szCs w:val="24"/>
                <w:lang w:eastAsia="en-GB"/>
                <w14:ligatures w14:val="standardContextual"/>
              </w:rPr>
              <w:tab/>
            </w:r>
            <w:r w:rsidRPr="00C75A6A">
              <w:rPr>
                <w:rStyle w:val="Hyperlink"/>
                <w:rFonts w:cs="Arial"/>
                <w:noProof/>
                <w:szCs w:val="24"/>
              </w:rPr>
              <w:t>Prevent Referrals</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_Toc211587878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7</w:t>
            </w:r>
            <w:r w:rsidRPr="00C75A6A">
              <w:rPr>
                <w:rFonts w:cs="Arial"/>
                <w:noProof/>
                <w:webHidden/>
                <w:szCs w:val="24"/>
              </w:rPr>
              <w:fldChar w:fldCharType="end"/>
            </w:r>
          </w:hyperlink>
        </w:p>
        <w:p w14:paraId="78B9A47C" w14:textId="307D1DB4" w:rsidR="00C75A6A" w:rsidRPr="00C75A6A" w:rsidRDefault="00C75A6A">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11587879" w:history="1">
            <w:r w:rsidRPr="00C75A6A">
              <w:rPr>
                <w:rStyle w:val="Hyperlink"/>
                <w:rFonts w:eastAsiaTheme="majorEastAsia" w:cs="Arial"/>
                <w:noProof/>
                <w:szCs w:val="24"/>
              </w:rPr>
              <w:t>12</w:t>
            </w:r>
            <w:r w:rsidRPr="00C75A6A">
              <w:rPr>
                <w:rFonts w:eastAsiaTheme="minorEastAsia" w:cs="Arial"/>
                <w:noProof/>
                <w:color w:val="auto"/>
                <w:kern w:val="2"/>
                <w:szCs w:val="24"/>
                <w:lang w:eastAsia="en-GB"/>
                <w14:ligatures w14:val="standardContextual"/>
              </w:rPr>
              <w:tab/>
            </w:r>
            <w:r w:rsidRPr="00C75A6A">
              <w:rPr>
                <w:rStyle w:val="Hyperlink"/>
                <w:rFonts w:cs="Arial"/>
                <w:noProof/>
                <w:szCs w:val="24"/>
              </w:rPr>
              <w:t>Students’ Union and Societies</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_Toc211587879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8</w:t>
            </w:r>
            <w:r w:rsidRPr="00C75A6A">
              <w:rPr>
                <w:rFonts w:cs="Arial"/>
                <w:noProof/>
                <w:webHidden/>
                <w:szCs w:val="24"/>
              </w:rPr>
              <w:fldChar w:fldCharType="end"/>
            </w:r>
          </w:hyperlink>
        </w:p>
        <w:p w14:paraId="04E8103A" w14:textId="3EA2CF0A" w:rsidR="00C75A6A" w:rsidRPr="00C75A6A" w:rsidRDefault="00C75A6A">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11587882" w:history="1">
            <w:r w:rsidRPr="00C75A6A">
              <w:rPr>
                <w:rStyle w:val="Hyperlink"/>
                <w:rFonts w:eastAsiaTheme="majorEastAsia" w:cs="Arial"/>
                <w:noProof/>
                <w:szCs w:val="24"/>
              </w:rPr>
              <w:t>13</w:t>
            </w:r>
            <w:r w:rsidRPr="00C75A6A">
              <w:rPr>
                <w:rFonts w:eastAsiaTheme="minorEastAsia" w:cs="Arial"/>
                <w:noProof/>
                <w:color w:val="auto"/>
                <w:kern w:val="2"/>
                <w:szCs w:val="24"/>
                <w:lang w:eastAsia="en-GB"/>
                <w14:ligatures w14:val="standardContextual"/>
              </w:rPr>
              <w:tab/>
            </w:r>
            <w:r w:rsidRPr="00C75A6A">
              <w:rPr>
                <w:rStyle w:val="Hyperlink"/>
                <w:rFonts w:cs="Arial"/>
                <w:noProof/>
                <w:szCs w:val="24"/>
              </w:rPr>
              <w:t>Staff Training</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_Toc211587882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8</w:t>
            </w:r>
            <w:r w:rsidRPr="00C75A6A">
              <w:rPr>
                <w:rFonts w:cs="Arial"/>
                <w:noProof/>
                <w:webHidden/>
                <w:szCs w:val="24"/>
              </w:rPr>
              <w:fldChar w:fldCharType="end"/>
            </w:r>
          </w:hyperlink>
        </w:p>
        <w:p w14:paraId="55C33931" w14:textId="2C5F2408" w:rsidR="00C75A6A" w:rsidRPr="00C75A6A" w:rsidRDefault="00C75A6A">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11587883" w:history="1">
            <w:r w:rsidRPr="00C75A6A">
              <w:rPr>
                <w:rStyle w:val="Hyperlink"/>
                <w:rFonts w:eastAsiaTheme="majorEastAsia" w:cs="Arial"/>
                <w:noProof/>
                <w:szCs w:val="24"/>
              </w:rPr>
              <w:t>14</w:t>
            </w:r>
            <w:r w:rsidRPr="00C75A6A">
              <w:rPr>
                <w:rFonts w:eastAsiaTheme="minorEastAsia" w:cs="Arial"/>
                <w:noProof/>
                <w:color w:val="auto"/>
                <w:kern w:val="2"/>
                <w:szCs w:val="24"/>
                <w:lang w:eastAsia="en-GB"/>
                <w14:ligatures w14:val="standardContextual"/>
              </w:rPr>
              <w:tab/>
            </w:r>
            <w:r w:rsidRPr="00C75A6A">
              <w:rPr>
                <w:rStyle w:val="Hyperlink"/>
                <w:rFonts w:cs="Arial"/>
                <w:noProof/>
                <w:szCs w:val="24"/>
              </w:rPr>
              <w:t>Communications</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_Toc211587883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9</w:t>
            </w:r>
            <w:r w:rsidRPr="00C75A6A">
              <w:rPr>
                <w:rFonts w:cs="Arial"/>
                <w:noProof/>
                <w:webHidden/>
                <w:szCs w:val="24"/>
              </w:rPr>
              <w:fldChar w:fldCharType="end"/>
            </w:r>
          </w:hyperlink>
        </w:p>
        <w:p w14:paraId="3D75E883" w14:textId="198F857E" w:rsidR="00C75A6A" w:rsidRPr="00C75A6A" w:rsidRDefault="00C75A6A">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11587884" w:history="1">
            <w:r w:rsidRPr="00C75A6A">
              <w:rPr>
                <w:rStyle w:val="Hyperlink"/>
                <w:rFonts w:eastAsiaTheme="majorEastAsia" w:cs="Arial"/>
                <w:noProof/>
                <w:szCs w:val="24"/>
              </w:rPr>
              <w:t>15</w:t>
            </w:r>
            <w:r w:rsidRPr="00C75A6A">
              <w:rPr>
                <w:rFonts w:eastAsiaTheme="minorEastAsia" w:cs="Arial"/>
                <w:noProof/>
                <w:color w:val="auto"/>
                <w:kern w:val="2"/>
                <w:szCs w:val="24"/>
                <w:lang w:eastAsia="en-GB"/>
                <w14:ligatures w14:val="standardContextual"/>
              </w:rPr>
              <w:tab/>
            </w:r>
            <w:r w:rsidRPr="00C75A6A">
              <w:rPr>
                <w:rStyle w:val="Hyperlink"/>
                <w:rFonts w:cs="Arial"/>
                <w:noProof/>
                <w:szCs w:val="24"/>
              </w:rPr>
              <w:t>Security Sensitive Research</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_Toc211587884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9</w:t>
            </w:r>
            <w:r w:rsidRPr="00C75A6A">
              <w:rPr>
                <w:rFonts w:cs="Arial"/>
                <w:noProof/>
                <w:webHidden/>
                <w:szCs w:val="24"/>
              </w:rPr>
              <w:fldChar w:fldCharType="end"/>
            </w:r>
          </w:hyperlink>
        </w:p>
        <w:p w14:paraId="6F65D004" w14:textId="229FC083" w:rsidR="00C75A6A" w:rsidRPr="00C75A6A" w:rsidRDefault="00C75A6A">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11587885" w:history="1">
            <w:r w:rsidRPr="00C75A6A">
              <w:rPr>
                <w:rStyle w:val="Hyperlink"/>
                <w:rFonts w:eastAsiaTheme="majorEastAsia" w:cs="Arial"/>
                <w:noProof/>
                <w:szCs w:val="24"/>
              </w:rPr>
              <w:t>16</w:t>
            </w:r>
            <w:r w:rsidRPr="00C75A6A">
              <w:rPr>
                <w:rFonts w:eastAsiaTheme="minorEastAsia" w:cs="Arial"/>
                <w:noProof/>
                <w:color w:val="auto"/>
                <w:kern w:val="2"/>
                <w:szCs w:val="24"/>
                <w:lang w:eastAsia="en-GB"/>
                <w14:ligatures w14:val="standardContextual"/>
              </w:rPr>
              <w:tab/>
            </w:r>
            <w:r w:rsidRPr="00C75A6A">
              <w:rPr>
                <w:rStyle w:val="Hyperlink"/>
                <w:rFonts w:cs="Arial"/>
                <w:noProof/>
                <w:szCs w:val="24"/>
              </w:rPr>
              <w:t>Information Technology</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_Toc211587885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9</w:t>
            </w:r>
            <w:r w:rsidRPr="00C75A6A">
              <w:rPr>
                <w:rFonts w:cs="Arial"/>
                <w:noProof/>
                <w:webHidden/>
                <w:szCs w:val="24"/>
              </w:rPr>
              <w:fldChar w:fldCharType="end"/>
            </w:r>
          </w:hyperlink>
        </w:p>
        <w:p w14:paraId="2FEA0EE8" w14:textId="26F15D94" w:rsidR="00C75A6A" w:rsidRPr="00C75A6A" w:rsidRDefault="00C75A6A">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11587886" w:history="1">
            <w:r w:rsidRPr="00C75A6A">
              <w:rPr>
                <w:rStyle w:val="Hyperlink"/>
                <w:rFonts w:eastAsiaTheme="majorEastAsia" w:cs="Arial"/>
                <w:noProof/>
                <w:szCs w:val="24"/>
              </w:rPr>
              <w:t>17</w:t>
            </w:r>
            <w:r w:rsidRPr="00C75A6A">
              <w:rPr>
                <w:rFonts w:eastAsiaTheme="minorEastAsia" w:cs="Arial"/>
                <w:noProof/>
                <w:color w:val="auto"/>
                <w:kern w:val="2"/>
                <w:szCs w:val="24"/>
                <w:lang w:eastAsia="en-GB"/>
                <w14:ligatures w14:val="standardContextual"/>
              </w:rPr>
              <w:tab/>
            </w:r>
            <w:r w:rsidRPr="00C75A6A">
              <w:rPr>
                <w:rStyle w:val="Hyperlink"/>
                <w:rFonts w:cs="Arial"/>
                <w:noProof/>
                <w:szCs w:val="24"/>
              </w:rPr>
              <w:t>Information Sharing</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_Toc211587886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10</w:t>
            </w:r>
            <w:r w:rsidRPr="00C75A6A">
              <w:rPr>
                <w:rFonts w:cs="Arial"/>
                <w:noProof/>
                <w:webHidden/>
                <w:szCs w:val="24"/>
              </w:rPr>
              <w:fldChar w:fldCharType="end"/>
            </w:r>
          </w:hyperlink>
        </w:p>
        <w:p w14:paraId="414AB206" w14:textId="54AAE76B" w:rsidR="00C75A6A" w:rsidRPr="00C75A6A" w:rsidRDefault="00C75A6A">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11587888" w:history="1">
            <w:r w:rsidRPr="00C75A6A">
              <w:rPr>
                <w:rStyle w:val="Hyperlink"/>
                <w:rFonts w:eastAsiaTheme="majorEastAsia" w:cs="Arial"/>
                <w:noProof/>
                <w:szCs w:val="24"/>
              </w:rPr>
              <w:t>18</w:t>
            </w:r>
            <w:r w:rsidRPr="00C75A6A">
              <w:rPr>
                <w:rFonts w:eastAsiaTheme="minorEastAsia" w:cs="Arial"/>
                <w:noProof/>
                <w:color w:val="auto"/>
                <w:kern w:val="2"/>
                <w:szCs w:val="24"/>
                <w:lang w:eastAsia="en-GB"/>
                <w14:ligatures w14:val="standardContextual"/>
              </w:rPr>
              <w:tab/>
            </w:r>
            <w:r w:rsidRPr="00C75A6A">
              <w:rPr>
                <w:rStyle w:val="Hyperlink"/>
                <w:rFonts w:cs="Arial"/>
                <w:noProof/>
                <w:szCs w:val="24"/>
              </w:rPr>
              <w:t>Monitoring and Review</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_Toc211587888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10</w:t>
            </w:r>
            <w:r w:rsidRPr="00C75A6A">
              <w:rPr>
                <w:rFonts w:cs="Arial"/>
                <w:noProof/>
                <w:webHidden/>
                <w:szCs w:val="24"/>
              </w:rPr>
              <w:fldChar w:fldCharType="end"/>
            </w:r>
          </w:hyperlink>
        </w:p>
        <w:p w14:paraId="699C5E8D" w14:textId="7F5475E2" w:rsidR="00C75A6A" w:rsidRPr="00C75A6A" w:rsidRDefault="00C75A6A">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11587889" w:history="1">
            <w:r w:rsidRPr="00C75A6A">
              <w:rPr>
                <w:rStyle w:val="Hyperlink"/>
                <w:rFonts w:eastAsiaTheme="majorEastAsia" w:cs="Arial"/>
                <w:noProof/>
                <w:szCs w:val="24"/>
              </w:rPr>
              <w:t>19</w:t>
            </w:r>
            <w:r w:rsidRPr="00C75A6A">
              <w:rPr>
                <w:rFonts w:eastAsiaTheme="minorEastAsia" w:cs="Arial"/>
                <w:noProof/>
                <w:color w:val="auto"/>
                <w:kern w:val="2"/>
                <w:szCs w:val="24"/>
                <w:lang w:eastAsia="en-GB"/>
                <w14:ligatures w14:val="standardContextual"/>
              </w:rPr>
              <w:tab/>
            </w:r>
            <w:r w:rsidRPr="00C75A6A">
              <w:rPr>
                <w:rStyle w:val="Hyperlink"/>
                <w:rFonts w:cs="Arial"/>
                <w:noProof/>
                <w:szCs w:val="24"/>
              </w:rPr>
              <w:t>Related Policies and Procedures</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_Toc211587889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10</w:t>
            </w:r>
            <w:r w:rsidRPr="00C75A6A">
              <w:rPr>
                <w:rFonts w:cs="Arial"/>
                <w:noProof/>
                <w:webHidden/>
                <w:szCs w:val="24"/>
              </w:rPr>
              <w:fldChar w:fldCharType="end"/>
            </w:r>
          </w:hyperlink>
        </w:p>
        <w:p w14:paraId="2EE44747" w14:textId="72E237F5" w:rsidR="00C75A6A" w:rsidRPr="00C75A6A" w:rsidRDefault="00C75A6A">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11587890" w:history="1">
            <w:r w:rsidRPr="00C75A6A">
              <w:rPr>
                <w:rStyle w:val="Hyperlink"/>
                <w:rFonts w:eastAsiaTheme="majorEastAsia" w:cs="Arial"/>
                <w:noProof/>
                <w:szCs w:val="24"/>
              </w:rPr>
              <w:t>20</w:t>
            </w:r>
            <w:r w:rsidRPr="00C75A6A">
              <w:rPr>
                <w:rFonts w:eastAsiaTheme="minorEastAsia" w:cs="Arial"/>
                <w:noProof/>
                <w:color w:val="auto"/>
                <w:kern w:val="2"/>
                <w:szCs w:val="24"/>
                <w:lang w:eastAsia="en-GB"/>
                <w14:ligatures w14:val="standardContextual"/>
              </w:rPr>
              <w:tab/>
            </w:r>
            <w:r w:rsidRPr="00C75A6A">
              <w:rPr>
                <w:rStyle w:val="Hyperlink"/>
                <w:rFonts w:cs="Arial"/>
                <w:noProof/>
                <w:szCs w:val="24"/>
              </w:rPr>
              <w:t>Further Information</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_Toc211587890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10</w:t>
            </w:r>
            <w:r w:rsidRPr="00C75A6A">
              <w:rPr>
                <w:rFonts w:cs="Arial"/>
                <w:noProof/>
                <w:webHidden/>
                <w:szCs w:val="24"/>
              </w:rPr>
              <w:fldChar w:fldCharType="end"/>
            </w:r>
          </w:hyperlink>
        </w:p>
        <w:p w14:paraId="068F3288" w14:textId="3CD7FD9A" w:rsidR="00C75A6A" w:rsidRPr="00C75A6A" w:rsidRDefault="00C75A6A">
          <w:pPr>
            <w:pStyle w:val="TOC1"/>
            <w:tabs>
              <w:tab w:val="left" w:pos="720"/>
              <w:tab w:val="right" w:leader="dot" w:pos="9016"/>
            </w:tabs>
            <w:rPr>
              <w:rFonts w:eastAsiaTheme="minorEastAsia" w:cs="Arial"/>
              <w:noProof/>
              <w:color w:val="auto"/>
              <w:kern w:val="2"/>
              <w:szCs w:val="24"/>
              <w:lang w:eastAsia="en-GB"/>
              <w14:ligatures w14:val="standardContextual"/>
            </w:rPr>
          </w:pPr>
          <w:hyperlink w:anchor="_Toc211587891" w:history="1">
            <w:r w:rsidRPr="00C75A6A">
              <w:rPr>
                <w:rStyle w:val="Hyperlink"/>
                <w:rFonts w:eastAsiaTheme="majorEastAsia" w:cs="Arial"/>
                <w:noProof/>
                <w:szCs w:val="24"/>
              </w:rPr>
              <w:t>21</w:t>
            </w:r>
            <w:r w:rsidRPr="00C75A6A">
              <w:rPr>
                <w:rFonts w:eastAsiaTheme="minorEastAsia" w:cs="Arial"/>
                <w:noProof/>
                <w:color w:val="auto"/>
                <w:kern w:val="2"/>
                <w:szCs w:val="24"/>
                <w:lang w:eastAsia="en-GB"/>
                <w14:ligatures w14:val="standardContextual"/>
              </w:rPr>
              <w:tab/>
            </w:r>
            <w:r w:rsidRPr="00C75A6A">
              <w:rPr>
                <w:rStyle w:val="Hyperlink"/>
                <w:rFonts w:cs="Arial"/>
                <w:noProof/>
                <w:szCs w:val="24"/>
              </w:rPr>
              <w:t>Review and Approval</w:t>
            </w:r>
            <w:r w:rsidRPr="00C75A6A">
              <w:rPr>
                <w:rFonts w:cs="Arial"/>
                <w:noProof/>
                <w:webHidden/>
                <w:szCs w:val="24"/>
              </w:rPr>
              <w:tab/>
            </w:r>
            <w:r w:rsidRPr="00C75A6A">
              <w:rPr>
                <w:rFonts w:cs="Arial"/>
                <w:noProof/>
                <w:webHidden/>
                <w:szCs w:val="24"/>
              </w:rPr>
              <w:fldChar w:fldCharType="begin"/>
            </w:r>
            <w:r w:rsidRPr="00C75A6A">
              <w:rPr>
                <w:rFonts w:cs="Arial"/>
                <w:noProof/>
                <w:webHidden/>
                <w:szCs w:val="24"/>
              </w:rPr>
              <w:instrText xml:space="preserve"> PAGEREF _Toc211587891 \h </w:instrText>
            </w:r>
            <w:r w:rsidRPr="00C75A6A">
              <w:rPr>
                <w:rFonts w:cs="Arial"/>
                <w:noProof/>
                <w:webHidden/>
                <w:szCs w:val="24"/>
              </w:rPr>
            </w:r>
            <w:r w:rsidRPr="00C75A6A">
              <w:rPr>
                <w:rFonts w:cs="Arial"/>
                <w:noProof/>
                <w:webHidden/>
                <w:szCs w:val="24"/>
              </w:rPr>
              <w:fldChar w:fldCharType="separate"/>
            </w:r>
            <w:r w:rsidR="008A3523">
              <w:rPr>
                <w:rFonts w:cs="Arial"/>
                <w:noProof/>
                <w:webHidden/>
                <w:szCs w:val="24"/>
              </w:rPr>
              <w:t>11</w:t>
            </w:r>
            <w:r w:rsidRPr="00C75A6A">
              <w:rPr>
                <w:rFonts w:cs="Arial"/>
                <w:noProof/>
                <w:webHidden/>
                <w:szCs w:val="24"/>
              </w:rPr>
              <w:fldChar w:fldCharType="end"/>
            </w:r>
          </w:hyperlink>
        </w:p>
        <w:p w14:paraId="246752F0" w14:textId="556E3BF9" w:rsidR="00176A6B" w:rsidRDefault="00176A6B">
          <w:r w:rsidRPr="00C75A6A">
            <w:rPr>
              <w:rFonts w:cs="Arial"/>
              <w:color w:val="2B579A"/>
              <w:szCs w:val="24"/>
              <w:shd w:val="clear" w:color="auto" w:fill="E6E6E6"/>
            </w:rPr>
            <w:fldChar w:fldCharType="end"/>
          </w:r>
        </w:p>
      </w:sdtContent>
    </w:sdt>
    <w:p w14:paraId="39D33F5A" w14:textId="73B26835" w:rsidR="00CB5D44" w:rsidRPr="00D74743" w:rsidRDefault="00CB5D44">
      <w:r>
        <w:br w:type="page"/>
      </w:r>
    </w:p>
    <w:p w14:paraId="295717A1" w14:textId="43D3CF91" w:rsidR="0077217C" w:rsidRDefault="008C7086" w:rsidP="00D74743">
      <w:pPr>
        <w:pStyle w:val="Title"/>
        <w:jc w:val="center"/>
      </w:pPr>
      <w:r>
        <w:lastRenderedPageBreak/>
        <w:t>Prevent</w:t>
      </w:r>
      <w:r w:rsidR="008509B7">
        <w:t xml:space="preserve"> Policy</w:t>
      </w:r>
    </w:p>
    <w:p w14:paraId="5F14DDDB" w14:textId="77777777" w:rsidR="008509B7" w:rsidRPr="00091316" w:rsidRDefault="008509B7" w:rsidP="00D74743">
      <w:pPr>
        <w:numPr>
          <w:ilvl w:val="0"/>
          <w:numId w:val="4"/>
        </w:numPr>
        <w:spacing w:before="240" w:after="0"/>
        <w:ind w:left="431" w:hanging="431"/>
        <w:outlineLvl w:val="0"/>
      </w:pPr>
      <w:bookmarkStart w:id="17" w:name="_Toc157413472"/>
      <w:bookmarkStart w:id="18" w:name="_Toc100660106"/>
      <w:bookmarkStart w:id="19" w:name="_Toc211587866"/>
      <w:r w:rsidRPr="00D74743">
        <w:rPr>
          <w:rFonts w:ascii="Altis Book" w:hAnsi="Altis Book"/>
          <w:color w:val="415464"/>
          <w:sz w:val="28"/>
        </w:rPr>
        <w:t>Purpose</w:t>
      </w:r>
      <w:bookmarkEnd w:id="17"/>
      <w:bookmarkEnd w:id="18"/>
      <w:bookmarkEnd w:id="19"/>
    </w:p>
    <w:p w14:paraId="7879F20B" w14:textId="51790E01" w:rsidR="00CA436F" w:rsidRPr="0072274B" w:rsidRDefault="008509B7" w:rsidP="007560A0">
      <w:pPr>
        <w:numPr>
          <w:ilvl w:val="1"/>
          <w:numId w:val="4"/>
        </w:numPr>
        <w:spacing w:before="160" w:after="120"/>
        <w:ind w:left="578" w:hanging="578"/>
        <w:outlineLvl w:val="1"/>
      </w:pPr>
      <w:r w:rsidRPr="008509B7">
        <w:rPr>
          <w:rFonts w:eastAsiaTheme="majorEastAsia" w:cstheme="majorBidi"/>
          <w:szCs w:val="26"/>
        </w:rPr>
        <w:t xml:space="preserve">Cardiff Metropolitan University </w:t>
      </w:r>
      <w:r w:rsidR="00387DE4">
        <w:rPr>
          <w:rFonts w:eastAsiaTheme="majorEastAsia" w:cstheme="majorBidi"/>
          <w:szCs w:val="26"/>
        </w:rPr>
        <w:t>(‘the University’)</w:t>
      </w:r>
      <w:r w:rsidR="002D7D1B" w:rsidRPr="002D7D1B">
        <w:t xml:space="preserve"> </w:t>
      </w:r>
      <w:r w:rsidR="002D7D1B" w:rsidRPr="0072274B">
        <w:t>as a ‘specified authority’</w:t>
      </w:r>
      <w:r w:rsidR="00387DE4">
        <w:rPr>
          <w:rFonts w:eastAsiaTheme="majorEastAsia" w:cstheme="majorBidi"/>
          <w:szCs w:val="26"/>
        </w:rPr>
        <w:t xml:space="preserve"> </w:t>
      </w:r>
      <w:r w:rsidRPr="008509B7">
        <w:rPr>
          <w:rFonts w:eastAsiaTheme="majorEastAsia" w:cstheme="majorBidi"/>
          <w:szCs w:val="26"/>
        </w:rPr>
        <w:t>is</w:t>
      </w:r>
      <w:r w:rsidR="00CA436F">
        <w:rPr>
          <w:rFonts w:eastAsiaTheme="majorEastAsia" w:cstheme="majorBidi"/>
          <w:szCs w:val="26"/>
        </w:rPr>
        <w:t xml:space="preserve"> </w:t>
      </w:r>
      <w:r w:rsidR="00CA436F" w:rsidRPr="0072274B">
        <w:t>required by Section 26 of the Counter Terrorism and Security Act 2015 to have ‘due regard to the need to prevent people from being drawn into terrorism’ (‘the Prevent Duty’).</w:t>
      </w:r>
    </w:p>
    <w:p w14:paraId="1776A107" w14:textId="7EF78735" w:rsidR="007B1911" w:rsidRPr="007B1911" w:rsidRDefault="008879EC" w:rsidP="007B1911">
      <w:pPr>
        <w:numPr>
          <w:ilvl w:val="1"/>
          <w:numId w:val="4"/>
        </w:numPr>
        <w:spacing w:before="160" w:after="120"/>
        <w:ind w:left="578" w:hanging="578"/>
        <w:outlineLvl w:val="1"/>
      </w:pPr>
      <w:r w:rsidRPr="008879EC">
        <w:rPr>
          <w:rFonts w:cs="Arial"/>
          <w:szCs w:val="24"/>
        </w:rPr>
        <w:t>Prevent is one of the of the 4 Pillars of the UK Government’s counter terrorism strategy ‘CONTEST’. Alongside Prevent the other 3 ‘P’ work strands</w:t>
      </w:r>
      <w:r w:rsidR="002D7D1B">
        <w:rPr>
          <w:rFonts w:cs="Arial"/>
          <w:szCs w:val="24"/>
        </w:rPr>
        <w:t xml:space="preserve"> are</w:t>
      </w:r>
      <w:r w:rsidRPr="008879EC">
        <w:rPr>
          <w:rFonts w:cs="Arial"/>
          <w:szCs w:val="24"/>
        </w:rPr>
        <w:t>:</w:t>
      </w:r>
    </w:p>
    <w:p w14:paraId="06E05941" w14:textId="2C1B0D23" w:rsidR="007B1911" w:rsidRPr="00082AAC" w:rsidRDefault="008879EC" w:rsidP="00400B11">
      <w:pPr>
        <w:pStyle w:val="ListParagraph"/>
        <w:numPr>
          <w:ilvl w:val="2"/>
          <w:numId w:val="37"/>
        </w:numPr>
        <w:spacing w:before="160" w:after="120"/>
        <w:outlineLvl w:val="1"/>
        <w:rPr>
          <w:i/>
          <w:iCs/>
        </w:rPr>
      </w:pPr>
      <w:r w:rsidRPr="00082AAC">
        <w:rPr>
          <w:i/>
          <w:iCs/>
        </w:rPr>
        <w:t>Prevent:</w:t>
      </w:r>
      <w:r w:rsidRPr="00D74743">
        <w:rPr>
          <w:i/>
        </w:rPr>
        <w:t xml:space="preserve"> to </w:t>
      </w:r>
      <w:r w:rsidRPr="00082AAC">
        <w:rPr>
          <w:i/>
          <w:iCs/>
        </w:rPr>
        <w:t>stop people becoming terrorists or supporting terrorism.</w:t>
      </w:r>
    </w:p>
    <w:p w14:paraId="38124203" w14:textId="77777777" w:rsidR="007B1911" w:rsidRPr="00082AAC" w:rsidRDefault="008879EC" w:rsidP="00400B11">
      <w:pPr>
        <w:numPr>
          <w:ilvl w:val="2"/>
          <w:numId w:val="37"/>
        </w:numPr>
        <w:spacing w:before="160" w:after="120"/>
        <w:outlineLvl w:val="1"/>
        <w:rPr>
          <w:i/>
          <w:iCs/>
        </w:rPr>
      </w:pPr>
      <w:r w:rsidRPr="00082AAC">
        <w:rPr>
          <w:i/>
          <w:iCs/>
        </w:rPr>
        <w:t>Pursue: to stop terrorist attacks.</w:t>
      </w:r>
    </w:p>
    <w:p w14:paraId="51567A6A" w14:textId="77777777" w:rsidR="007B1911" w:rsidRPr="00082AAC" w:rsidRDefault="008879EC" w:rsidP="00400B11">
      <w:pPr>
        <w:numPr>
          <w:ilvl w:val="2"/>
          <w:numId w:val="37"/>
        </w:numPr>
        <w:spacing w:before="160" w:after="120"/>
        <w:outlineLvl w:val="1"/>
        <w:rPr>
          <w:i/>
          <w:iCs/>
        </w:rPr>
      </w:pPr>
      <w:r w:rsidRPr="00082AAC">
        <w:rPr>
          <w:i/>
          <w:iCs/>
        </w:rPr>
        <w:t>Protect: to strengthen our protection against a terrorist attack.</w:t>
      </w:r>
    </w:p>
    <w:p w14:paraId="7D1F8FF4" w14:textId="77777777" w:rsidR="00953E06" w:rsidRPr="00082AAC" w:rsidRDefault="008879EC" w:rsidP="00400B11">
      <w:pPr>
        <w:numPr>
          <w:ilvl w:val="2"/>
          <w:numId w:val="37"/>
        </w:numPr>
        <w:spacing w:before="160" w:after="120"/>
        <w:outlineLvl w:val="1"/>
        <w:rPr>
          <w:i/>
          <w:iCs/>
        </w:rPr>
      </w:pPr>
      <w:r w:rsidRPr="00082AAC">
        <w:rPr>
          <w:i/>
          <w:iCs/>
        </w:rPr>
        <w:t>Prepare: to mitigate the impact of a terrorist attack.</w:t>
      </w:r>
    </w:p>
    <w:p w14:paraId="4EAD8222" w14:textId="24D3CA36" w:rsidR="00C55270" w:rsidRDefault="00DC324B" w:rsidP="006E3333">
      <w:pPr>
        <w:pStyle w:val="Heading2"/>
        <w:rPr>
          <w:rFonts w:cs="Arial"/>
          <w:szCs w:val="24"/>
        </w:rPr>
      </w:pPr>
      <w:r>
        <w:t xml:space="preserve">Section 29 of the </w:t>
      </w:r>
      <w:r w:rsidR="00E43918">
        <w:t xml:space="preserve">Counter Terrorism and Security </w:t>
      </w:r>
      <w:r w:rsidR="00E43918" w:rsidRPr="00953E06">
        <w:t xml:space="preserve">Act </w:t>
      </w:r>
      <w:r w:rsidR="00E43918">
        <w:t xml:space="preserve">2015 </w:t>
      </w:r>
      <w:r w:rsidR="00E43918" w:rsidRPr="00953E06">
        <w:t>also requires the University to have regard to guidance issued by HM Government in meeting the Prevent Duty –</w:t>
      </w:r>
      <w:r w:rsidR="004359F7" w:rsidRPr="004359F7">
        <w:rPr>
          <w:rFonts w:eastAsiaTheme="minorHAnsi" w:cstheme="minorBidi"/>
          <w:szCs w:val="22"/>
        </w:rPr>
        <w:t xml:space="preserve"> </w:t>
      </w:r>
      <w:hyperlink r:id="rId20" w:history="1">
        <w:r w:rsidR="004359F7" w:rsidRPr="004359F7">
          <w:rPr>
            <w:rFonts w:eastAsiaTheme="minorHAnsi" w:cstheme="minorBidi"/>
            <w:color w:val="0000FF"/>
            <w:szCs w:val="22"/>
            <w:u w:val="single"/>
          </w:rPr>
          <w:t>Prevent duty guidance: England and Wales (2023) - GOV.UK</w:t>
        </w:r>
      </w:hyperlink>
      <w:r w:rsidR="00E43918" w:rsidRPr="00953E06">
        <w:t>.</w:t>
      </w:r>
      <w:r w:rsidR="00E43918">
        <w:t xml:space="preserve"> </w:t>
      </w:r>
      <w:r w:rsidR="00E43918" w:rsidRPr="00953E06">
        <w:t xml:space="preserve"> </w:t>
      </w:r>
      <w:r w:rsidR="00E43918" w:rsidRPr="008B6AB2">
        <w:rPr>
          <w:rFonts w:cs="Arial"/>
          <w:szCs w:val="24"/>
        </w:rPr>
        <w:t>The guidance identifies key areas that evidence a specified authority’s compliance with the Prevent Duty.</w:t>
      </w:r>
      <w:r w:rsidR="00C55270">
        <w:rPr>
          <w:rFonts w:cs="Arial"/>
          <w:szCs w:val="24"/>
        </w:rPr>
        <w:t xml:space="preserve"> </w:t>
      </w:r>
    </w:p>
    <w:p w14:paraId="77EBB5A1" w14:textId="78827093" w:rsidR="006E3333" w:rsidRDefault="00E43918" w:rsidP="006E3333">
      <w:pPr>
        <w:pStyle w:val="Heading2"/>
        <w:rPr>
          <w:rFonts w:cs="Arial"/>
          <w:szCs w:val="24"/>
        </w:rPr>
      </w:pPr>
      <w:r w:rsidRPr="008B6AB2">
        <w:rPr>
          <w:rFonts w:cs="Arial"/>
          <w:szCs w:val="24"/>
        </w:rPr>
        <w:t xml:space="preserve">The purpose of this Policy is to set out how the University meets its responsibilities under the Act and ensures compliance with the Prevent Duty. More specifically it specifies how it complies with the key areas in the Guidance. </w:t>
      </w:r>
    </w:p>
    <w:p w14:paraId="4F02E3DD" w14:textId="236ACCFB" w:rsidR="008509B7" w:rsidRPr="00F77DD5" w:rsidRDefault="006E3333" w:rsidP="00D74743">
      <w:pPr>
        <w:pStyle w:val="Heading2"/>
        <w:rPr>
          <w:rFonts w:cs="Arial"/>
        </w:rPr>
      </w:pPr>
      <w:r w:rsidRPr="0072274B">
        <w:t xml:space="preserve">There are </w:t>
      </w:r>
      <w:r w:rsidR="00176DE3" w:rsidRPr="0072274B">
        <w:t>several</w:t>
      </w:r>
      <w:r w:rsidRPr="0072274B">
        <w:t xml:space="preserve"> specific criminal offences related to terrorism. This policy also sets out the Univer</w:t>
      </w:r>
      <w:r w:rsidR="00275CCF">
        <w:t>si</w:t>
      </w:r>
      <w:r w:rsidRPr="0072274B">
        <w:t xml:space="preserve">ty’s more general approach to protecting vulnerable members of the University community and measures put in place by the University to enable individuals to learn in a safe and secure environment.  </w:t>
      </w:r>
    </w:p>
    <w:p w14:paraId="3CEC6502" w14:textId="77777777" w:rsidR="008509B7" w:rsidRPr="00091316" w:rsidRDefault="008509B7" w:rsidP="00D74743">
      <w:pPr>
        <w:numPr>
          <w:ilvl w:val="0"/>
          <w:numId w:val="4"/>
        </w:numPr>
        <w:spacing w:after="0"/>
        <w:ind w:left="431" w:hanging="431"/>
        <w:outlineLvl w:val="0"/>
      </w:pPr>
      <w:bookmarkStart w:id="20" w:name="_Toc157413473"/>
      <w:bookmarkStart w:id="21" w:name="_Toc100660107"/>
      <w:bookmarkStart w:id="22" w:name="_Toc211587867"/>
      <w:r w:rsidRPr="00D74743">
        <w:rPr>
          <w:rFonts w:ascii="Altis Book" w:hAnsi="Altis Book"/>
          <w:color w:val="415464"/>
          <w:sz w:val="28"/>
        </w:rPr>
        <w:t>Scope</w:t>
      </w:r>
      <w:bookmarkEnd w:id="20"/>
      <w:bookmarkEnd w:id="21"/>
      <w:bookmarkEnd w:id="22"/>
    </w:p>
    <w:p w14:paraId="53BCFFB8" w14:textId="53844B4D" w:rsidR="009278CA" w:rsidRPr="008509B7" w:rsidRDefault="008509B7" w:rsidP="00D74743">
      <w:pPr>
        <w:numPr>
          <w:ilvl w:val="1"/>
          <w:numId w:val="4"/>
        </w:numPr>
        <w:spacing w:before="160" w:after="120"/>
        <w:ind w:left="578" w:hanging="578"/>
        <w:outlineLvl w:val="1"/>
      </w:pPr>
      <w:r w:rsidRPr="008509B7">
        <w:rPr>
          <w:rFonts w:eastAsiaTheme="majorEastAsia" w:cstheme="majorBidi"/>
          <w:szCs w:val="26"/>
        </w:rPr>
        <w:t xml:space="preserve">This Policy applies to all </w:t>
      </w:r>
      <w:r w:rsidR="004C2849">
        <w:rPr>
          <w:rFonts w:eastAsiaTheme="majorEastAsia" w:cstheme="majorBidi"/>
          <w:szCs w:val="26"/>
        </w:rPr>
        <w:t>university staff, students</w:t>
      </w:r>
      <w:r w:rsidR="009278CA">
        <w:rPr>
          <w:rFonts w:eastAsiaTheme="majorEastAsia" w:cstheme="majorBidi"/>
          <w:szCs w:val="26"/>
        </w:rPr>
        <w:t>,</w:t>
      </w:r>
      <w:r w:rsidR="004C2849">
        <w:rPr>
          <w:rFonts w:eastAsiaTheme="majorEastAsia" w:cstheme="majorBidi"/>
          <w:szCs w:val="26"/>
        </w:rPr>
        <w:t xml:space="preserve"> </w:t>
      </w:r>
      <w:r w:rsidR="00CE3A32">
        <w:rPr>
          <w:rFonts w:eastAsiaTheme="majorEastAsia" w:cstheme="majorBidi"/>
          <w:szCs w:val="26"/>
        </w:rPr>
        <w:t xml:space="preserve">visitors to </w:t>
      </w:r>
      <w:r w:rsidR="003C519A">
        <w:rPr>
          <w:rFonts w:eastAsiaTheme="majorEastAsia" w:cstheme="majorBidi"/>
          <w:szCs w:val="26"/>
        </w:rPr>
        <w:t>university</w:t>
      </w:r>
      <w:r w:rsidR="00CE3A32">
        <w:rPr>
          <w:rFonts w:eastAsiaTheme="majorEastAsia" w:cstheme="majorBidi"/>
          <w:szCs w:val="26"/>
        </w:rPr>
        <w:t xml:space="preserve"> buildings</w:t>
      </w:r>
      <w:r w:rsidR="00170B27">
        <w:rPr>
          <w:rFonts w:eastAsiaTheme="majorEastAsia" w:cstheme="majorBidi"/>
          <w:szCs w:val="26"/>
        </w:rPr>
        <w:t xml:space="preserve"> and those engaged in business on b</w:t>
      </w:r>
      <w:r w:rsidR="009278CA">
        <w:rPr>
          <w:rFonts w:eastAsiaTheme="majorEastAsia" w:cstheme="majorBidi"/>
          <w:szCs w:val="26"/>
        </w:rPr>
        <w:t>e</w:t>
      </w:r>
      <w:r w:rsidR="00170B27">
        <w:rPr>
          <w:rFonts w:eastAsiaTheme="majorEastAsia" w:cstheme="majorBidi"/>
          <w:szCs w:val="26"/>
        </w:rPr>
        <w:t>h</w:t>
      </w:r>
      <w:r w:rsidR="009278CA">
        <w:rPr>
          <w:rFonts w:eastAsiaTheme="majorEastAsia" w:cstheme="majorBidi"/>
          <w:szCs w:val="26"/>
        </w:rPr>
        <w:t>a</w:t>
      </w:r>
      <w:r w:rsidR="00170B27">
        <w:rPr>
          <w:rFonts w:eastAsiaTheme="majorEastAsia" w:cstheme="majorBidi"/>
          <w:szCs w:val="26"/>
        </w:rPr>
        <w:t xml:space="preserve">lf of the University. </w:t>
      </w:r>
      <w:r w:rsidR="00CE3A32">
        <w:rPr>
          <w:rFonts w:eastAsiaTheme="majorEastAsia" w:cstheme="majorBidi"/>
          <w:szCs w:val="26"/>
        </w:rPr>
        <w:t xml:space="preserve"> </w:t>
      </w:r>
    </w:p>
    <w:p w14:paraId="29A1CA2A" w14:textId="77777777" w:rsidR="008509B7" w:rsidRPr="00091316" w:rsidRDefault="008509B7" w:rsidP="003860B9">
      <w:pPr>
        <w:numPr>
          <w:ilvl w:val="0"/>
          <w:numId w:val="4"/>
        </w:numPr>
        <w:spacing w:after="0"/>
        <w:ind w:left="431" w:hanging="431"/>
        <w:outlineLvl w:val="0"/>
      </w:pPr>
      <w:bookmarkStart w:id="23" w:name="_Toc157413474"/>
      <w:bookmarkStart w:id="24" w:name="_Toc100660108"/>
      <w:bookmarkStart w:id="25" w:name="_Toc211587869"/>
      <w:r w:rsidRPr="003860B9">
        <w:rPr>
          <w:rFonts w:ascii="Altis Book" w:hAnsi="Altis Book"/>
          <w:color w:val="415464"/>
          <w:sz w:val="28"/>
        </w:rPr>
        <w:t>Definitions</w:t>
      </w:r>
      <w:bookmarkEnd w:id="23"/>
      <w:bookmarkEnd w:id="24"/>
      <w:bookmarkEnd w:id="25"/>
    </w:p>
    <w:p w14:paraId="3ED588D2" w14:textId="433EEE2A" w:rsidR="008509B7" w:rsidRPr="008509B7" w:rsidRDefault="00786614" w:rsidP="003860B9">
      <w:pPr>
        <w:numPr>
          <w:ilvl w:val="1"/>
          <w:numId w:val="4"/>
        </w:numPr>
        <w:spacing w:before="160" w:after="120"/>
        <w:ind w:left="578" w:hanging="578"/>
        <w:outlineLvl w:val="1"/>
      </w:pPr>
      <w:r>
        <w:rPr>
          <w:rFonts w:eastAsiaTheme="majorEastAsia" w:cstheme="majorBidi"/>
          <w:b/>
          <w:bCs/>
          <w:szCs w:val="26"/>
        </w:rPr>
        <w:t>Radicalisation</w:t>
      </w:r>
      <w:r w:rsidR="008509B7" w:rsidRPr="008509B7">
        <w:rPr>
          <w:rFonts w:eastAsiaTheme="majorEastAsia" w:cstheme="majorBidi"/>
          <w:szCs w:val="26"/>
        </w:rPr>
        <w:t xml:space="preserve"> is </w:t>
      </w:r>
      <w:r w:rsidR="00B928F0">
        <w:rPr>
          <w:rFonts w:eastAsiaTheme="majorEastAsia" w:cstheme="majorBidi"/>
          <w:szCs w:val="26"/>
        </w:rPr>
        <w:t xml:space="preserve">when </w:t>
      </w:r>
      <w:r w:rsidR="00E0762D">
        <w:rPr>
          <w:rFonts w:eastAsiaTheme="majorEastAsia" w:cstheme="majorBidi"/>
          <w:szCs w:val="26"/>
        </w:rPr>
        <w:t xml:space="preserve">an individual is encouraged to develop extreme views </w:t>
      </w:r>
      <w:r w:rsidR="00045061">
        <w:rPr>
          <w:rFonts w:eastAsiaTheme="majorEastAsia" w:cstheme="majorBidi"/>
          <w:szCs w:val="26"/>
        </w:rPr>
        <w:t xml:space="preserve">or beliefs that support </w:t>
      </w:r>
      <w:r w:rsidR="00076B6A">
        <w:rPr>
          <w:rFonts w:eastAsiaTheme="majorEastAsia" w:cstheme="majorBidi"/>
          <w:szCs w:val="26"/>
        </w:rPr>
        <w:t>Terrorism</w:t>
      </w:r>
      <w:r w:rsidR="00045061">
        <w:rPr>
          <w:rFonts w:eastAsiaTheme="majorEastAsia" w:cstheme="majorBidi"/>
          <w:szCs w:val="26"/>
        </w:rPr>
        <w:t xml:space="preserve"> (</w:t>
      </w:r>
      <w:r w:rsidR="00A857AB">
        <w:rPr>
          <w:rFonts w:eastAsiaTheme="majorEastAsia" w:cstheme="majorBidi"/>
          <w:szCs w:val="26"/>
        </w:rPr>
        <w:t>including</w:t>
      </w:r>
      <w:r w:rsidR="00045061">
        <w:rPr>
          <w:rFonts w:eastAsiaTheme="majorEastAsia" w:cstheme="majorBidi"/>
          <w:szCs w:val="26"/>
        </w:rPr>
        <w:t xml:space="preserve"> </w:t>
      </w:r>
      <w:r w:rsidR="00615D3A">
        <w:rPr>
          <w:rFonts w:eastAsiaTheme="majorEastAsia" w:cstheme="majorBidi"/>
          <w:szCs w:val="26"/>
        </w:rPr>
        <w:t>groups and activities)</w:t>
      </w:r>
      <w:r w:rsidR="00F8033C">
        <w:rPr>
          <w:rFonts w:eastAsiaTheme="majorEastAsia" w:cstheme="majorBidi"/>
          <w:szCs w:val="26"/>
        </w:rPr>
        <w:t xml:space="preserve">. In some </w:t>
      </w:r>
      <w:r w:rsidR="0065440D">
        <w:rPr>
          <w:rFonts w:eastAsiaTheme="majorEastAsia" w:cstheme="majorBidi"/>
          <w:szCs w:val="26"/>
        </w:rPr>
        <w:t xml:space="preserve">cases, a person or group manipulate </w:t>
      </w:r>
      <w:r w:rsidR="00A857AB">
        <w:rPr>
          <w:rFonts w:eastAsiaTheme="majorEastAsia" w:cstheme="majorBidi"/>
          <w:szCs w:val="26"/>
        </w:rPr>
        <w:t>someone’s</w:t>
      </w:r>
      <w:r w:rsidR="0065440D">
        <w:rPr>
          <w:rFonts w:eastAsiaTheme="majorEastAsia" w:cstheme="majorBidi"/>
          <w:szCs w:val="26"/>
        </w:rPr>
        <w:t xml:space="preserve"> </w:t>
      </w:r>
      <w:r w:rsidR="00A857AB">
        <w:rPr>
          <w:rFonts w:eastAsiaTheme="majorEastAsia" w:cstheme="majorBidi"/>
          <w:szCs w:val="26"/>
        </w:rPr>
        <w:t>susceptibilities</w:t>
      </w:r>
      <w:r w:rsidR="0065440D">
        <w:rPr>
          <w:rFonts w:eastAsiaTheme="majorEastAsia" w:cstheme="majorBidi"/>
          <w:szCs w:val="26"/>
        </w:rPr>
        <w:t xml:space="preserve">, </w:t>
      </w:r>
      <w:r w:rsidR="00C5238A">
        <w:rPr>
          <w:rFonts w:eastAsiaTheme="majorEastAsia" w:cstheme="majorBidi"/>
          <w:szCs w:val="26"/>
        </w:rPr>
        <w:t>at</w:t>
      </w:r>
      <w:r w:rsidR="0065440D">
        <w:rPr>
          <w:rFonts w:eastAsiaTheme="majorEastAsia" w:cstheme="majorBidi"/>
          <w:szCs w:val="26"/>
        </w:rPr>
        <w:t xml:space="preserve"> other times radicalisation </w:t>
      </w:r>
      <w:r w:rsidR="0045630C">
        <w:rPr>
          <w:rFonts w:eastAsiaTheme="majorEastAsia" w:cstheme="majorBidi"/>
          <w:szCs w:val="26"/>
        </w:rPr>
        <w:t xml:space="preserve">is driven by ideological beliefs. An individual </w:t>
      </w:r>
      <w:r w:rsidR="00195274">
        <w:rPr>
          <w:rFonts w:eastAsiaTheme="majorEastAsia" w:cstheme="majorBidi"/>
          <w:szCs w:val="26"/>
        </w:rPr>
        <w:t>can also self -radicalise online.</w:t>
      </w:r>
      <w:r w:rsidR="00F8033C">
        <w:rPr>
          <w:rFonts w:eastAsiaTheme="majorEastAsia" w:cstheme="majorBidi"/>
          <w:szCs w:val="26"/>
        </w:rPr>
        <w:t xml:space="preserve"> </w:t>
      </w:r>
    </w:p>
    <w:p w14:paraId="520ACC51" w14:textId="77777777" w:rsidR="00847E9E" w:rsidRPr="00847E9E" w:rsidRDefault="008A15F7" w:rsidP="00847E9E">
      <w:pPr>
        <w:numPr>
          <w:ilvl w:val="1"/>
          <w:numId w:val="4"/>
        </w:numPr>
        <w:spacing w:before="160" w:after="120"/>
        <w:ind w:left="578" w:hanging="578"/>
        <w:outlineLvl w:val="1"/>
      </w:pPr>
      <w:r>
        <w:rPr>
          <w:rFonts w:eastAsiaTheme="majorEastAsia" w:cstheme="majorBidi"/>
          <w:b/>
          <w:bCs/>
          <w:szCs w:val="26"/>
        </w:rPr>
        <w:t xml:space="preserve">Terrorism </w:t>
      </w:r>
      <w:r w:rsidR="008509B7" w:rsidRPr="008509B7">
        <w:rPr>
          <w:rFonts w:eastAsiaTheme="majorEastAsia" w:cstheme="majorBidi"/>
          <w:szCs w:val="26"/>
        </w:rPr>
        <w:t xml:space="preserve">is </w:t>
      </w:r>
      <w:r w:rsidR="00847E9E">
        <w:rPr>
          <w:rFonts w:eastAsiaTheme="majorEastAsia" w:cstheme="majorBidi"/>
          <w:szCs w:val="26"/>
        </w:rPr>
        <w:t>t</w:t>
      </w:r>
      <w:r w:rsidR="00B73CAB" w:rsidRPr="00B73CAB">
        <w:rPr>
          <w:rFonts w:eastAsia="Times New Roman" w:cs="Arial"/>
          <w:color w:val="0B0C0C"/>
          <w:lang w:eastAsia="en-GB"/>
        </w:rPr>
        <w:t>he use or threat of serious violence against a person or serious damage to property where that action is:</w:t>
      </w:r>
    </w:p>
    <w:p w14:paraId="201FFD66" w14:textId="03C9067E" w:rsidR="00B73CAB" w:rsidRPr="00847E9E" w:rsidRDefault="00B73CAB" w:rsidP="00847E9E">
      <w:pPr>
        <w:pStyle w:val="ListParagraph"/>
        <w:numPr>
          <w:ilvl w:val="1"/>
          <w:numId w:val="39"/>
        </w:numPr>
        <w:spacing w:before="160" w:after="120"/>
        <w:outlineLvl w:val="1"/>
      </w:pPr>
      <w:r w:rsidRPr="00847E9E">
        <w:rPr>
          <w:rFonts w:eastAsia="Times New Roman"/>
          <w:lang w:eastAsia="en-GB"/>
        </w:rPr>
        <w:lastRenderedPageBreak/>
        <w:t>designed to influence the government or an international governmental organisation or to intimidate the public or a section of the public; and</w:t>
      </w:r>
    </w:p>
    <w:p w14:paraId="72FEDCE9" w14:textId="67CFEC0A" w:rsidR="00EF1F4C" w:rsidRPr="00EF1F4C" w:rsidRDefault="00B73CAB" w:rsidP="008C67A3">
      <w:pPr>
        <w:pStyle w:val="Heading2"/>
        <w:numPr>
          <w:ilvl w:val="1"/>
          <w:numId w:val="39"/>
        </w:numPr>
      </w:pPr>
      <w:r w:rsidRPr="0072274B">
        <w:rPr>
          <w:rFonts w:eastAsia="Times New Roman"/>
          <w:lang w:eastAsia="en-GB"/>
        </w:rPr>
        <w:t>for the purpose of advancing a political, religious, racial or ideological cause</w:t>
      </w:r>
      <w:bookmarkStart w:id="26" w:name="_Toc157413475"/>
      <w:bookmarkStart w:id="27" w:name="_Toc100660109"/>
    </w:p>
    <w:p w14:paraId="7DBB1B75" w14:textId="1549A91C" w:rsidR="0020460E" w:rsidRDefault="0020460E" w:rsidP="00D74743">
      <w:pPr>
        <w:pStyle w:val="Heading1"/>
      </w:pPr>
      <w:bookmarkStart w:id="28" w:name="_Toc82757111"/>
      <w:bookmarkStart w:id="29" w:name="_Toc211587870"/>
      <w:r>
        <w:t>Principles</w:t>
      </w:r>
      <w:r w:rsidR="002A3414" w:rsidRPr="002A3414">
        <w:t xml:space="preserve"> </w:t>
      </w:r>
      <w:bookmarkEnd w:id="28"/>
      <w:bookmarkEnd w:id="29"/>
    </w:p>
    <w:p w14:paraId="6A821568" w14:textId="77777777" w:rsidR="0020460E" w:rsidRDefault="0020460E" w:rsidP="0020460E">
      <w:pPr>
        <w:spacing w:after="0"/>
        <w:outlineLvl w:val="0"/>
      </w:pPr>
    </w:p>
    <w:p w14:paraId="0910F7A9" w14:textId="75C95344" w:rsidR="008761A6" w:rsidRDefault="00777C35">
      <w:pPr>
        <w:pStyle w:val="Heading2"/>
        <w:spacing w:before="0" w:after="240" w:line="240" w:lineRule="auto"/>
      </w:pPr>
      <w:r>
        <w:t>Cardiff Met University</w:t>
      </w:r>
      <w:r w:rsidR="007A1122" w:rsidRPr="007A1122">
        <w:t xml:space="preserve"> is committed to taking measures to ensure that students and staff are enabled to learn and work in a safe</w:t>
      </w:r>
      <w:r w:rsidR="00882F8C">
        <w:t>, secure</w:t>
      </w:r>
      <w:r w:rsidR="007A1122" w:rsidRPr="007A1122">
        <w:t xml:space="preserve"> and intellectually stimulating environment.</w:t>
      </w:r>
    </w:p>
    <w:p w14:paraId="76B0B21E" w14:textId="4E4A3AB2" w:rsidR="007A1122" w:rsidRPr="008761A6" w:rsidRDefault="008761A6">
      <w:pPr>
        <w:pStyle w:val="Heading2"/>
        <w:spacing w:before="0" w:after="240" w:line="240" w:lineRule="auto"/>
      </w:pPr>
      <w:r>
        <w:t xml:space="preserve">The University </w:t>
      </w:r>
      <w:r w:rsidR="007A1122" w:rsidRPr="008761A6">
        <w:rPr>
          <w:rFonts w:cs="Arial"/>
        </w:rPr>
        <w:t xml:space="preserve">will exercise </w:t>
      </w:r>
      <w:r>
        <w:rPr>
          <w:rFonts w:cs="Arial"/>
        </w:rPr>
        <w:t>it’s</w:t>
      </w:r>
      <w:r w:rsidR="007A1122" w:rsidRPr="008761A6">
        <w:rPr>
          <w:rFonts w:cs="Arial"/>
        </w:rPr>
        <w:t xml:space="preserve"> Prevent duties in a risk-based and proportionate way.  </w:t>
      </w:r>
      <w:r>
        <w:rPr>
          <w:rFonts w:cs="Arial"/>
        </w:rPr>
        <w:t>It</w:t>
      </w:r>
      <w:r w:rsidR="007A1122" w:rsidRPr="008761A6">
        <w:rPr>
          <w:rFonts w:cs="Arial"/>
        </w:rPr>
        <w:t xml:space="preserve"> embed</w:t>
      </w:r>
      <w:r w:rsidR="004E0F6C">
        <w:rPr>
          <w:rFonts w:cs="Arial"/>
        </w:rPr>
        <w:t>s</w:t>
      </w:r>
      <w:r w:rsidR="007A1122" w:rsidRPr="008761A6">
        <w:rPr>
          <w:rFonts w:cs="Arial"/>
        </w:rPr>
        <w:t xml:space="preserve"> </w:t>
      </w:r>
      <w:r>
        <w:rPr>
          <w:rFonts w:cs="Arial"/>
        </w:rPr>
        <w:t>its</w:t>
      </w:r>
      <w:r w:rsidR="007A1122" w:rsidRPr="008761A6">
        <w:rPr>
          <w:rFonts w:cs="Arial"/>
        </w:rPr>
        <w:t xml:space="preserve"> responsibilities into a safeguarding approach which seeks to provide support to any student or staff member who is deemed to be at risk of abuse or exploitation, including vulnerability to radicalisation and being drawn into violent extremism.</w:t>
      </w:r>
    </w:p>
    <w:p w14:paraId="73AE2B45" w14:textId="610663B5" w:rsidR="007A1122" w:rsidRPr="007A1122" w:rsidRDefault="006D65D5" w:rsidP="00D74743">
      <w:pPr>
        <w:numPr>
          <w:ilvl w:val="1"/>
          <w:numId w:val="4"/>
        </w:numPr>
        <w:spacing w:after="240" w:line="240" w:lineRule="auto"/>
        <w:ind w:left="578" w:hanging="578"/>
        <w:outlineLvl w:val="1"/>
      </w:pPr>
      <w:r>
        <w:rPr>
          <w:rFonts w:eastAsiaTheme="majorEastAsia" w:cstheme="majorBidi"/>
          <w:szCs w:val="26"/>
        </w:rPr>
        <w:t xml:space="preserve">The University will </w:t>
      </w:r>
      <w:r w:rsidR="007A1122" w:rsidRPr="007A1122">
        <w:rPr>
          <w:rFonts w:eastAsiaTheme="majorEastAsia" w:cstheme="majorBidi"/>
          <w:szCs w:val="26"/>
        </w:rPr>
        <w:t xml:space="preserve">seek to be as transparent as possible in </w:t>
      </w:r>
      <w:r>
        <w:rPr>
          <w:rFonts w:eastAsiaTheme="majorEastAsia" w:cstheme="majorBidi"/>
          <w:szCs w:val="26"/>
        </w:rPr>
        <w:t>its</w:t>
      </w:r>
      <w:r w:rsidR="007A1122" w:rsidRPr="007A1122">
        <w:rPr>
          <w:rFonts w:eastAsiaTheme="majorEastAsia" w:cstheme="majorBidi"/>
          <w:szCs w:val="26"/>
        </w:rPr>
        <w:t xml:space="preserve"> obligations </w:t>
      </w:r>
      <w:r>
        <w:rPr>
          <w:rFonts w:eastAsiaTheme="majorEastAsia" w:cstheme="majorBidi"/>
          <w:szCs w:val="26"/>
        </w:rPr>
        <w:t xml:space="preserve">under Prevent </w:t>
      </w:r>
      <w:r w:rsidR="007A1122" w:rsidRPr="007A1122">
        <w:rPr>
          <w:rFonts w:eastAsiaTheme="majorEastAsia" w:cstheme="majorBidi"/>
          <w:szCs w:val="26"/>
        </w:rPr>
        <w:t xml:space="preserve">whilst also protecting individual and personal data as outlined in the </w:t>
      </w:r>
      <w:hyperlink r:id="rId21" w:history="1">
        <w:r w:rsidR="007A1122" w:rsidRPr="00D74743">
          <w:t>University’s Data Protection Policy</w:t>
        </w:r>
      </w:hyperlink>
      <w:r w:rsidR="007A1122" w:rsidRPr="007A1122">
        <w:rPr>
          <w:rFonts w:eastAsiaTheme="majorEastAsia" w:cstheme="majorBidi"/>
          <w:szCs w:val="26"/>
        </w:rPr>
        <w:t>. This involves actively engaging the Students’ Union and the recognised trade unions in changes to this, and related, policies.</w:t>
      </w:r>
    </w:p>
    <w:p w14:paraId="2A3F1F32" w14:textId="1F00DA8A" w:rsidR="0020460E" w:rsidRPr="000413E2" w:rsidRDefault="007A1122" w:rsidP="00D74743">
      <w:pPr>
        <w:numPr>
          <w:ilvl w:val="1"/>
          <w:numId w:val="4"/>
        </w:numPr>
        <w:spacing w:after="240" w:line="240" w:lineRule="auto"/>
        <w:ind w:left="578" w:hanging="578"/>
        <w:outlineLvl w:val="1"/>
      </w:pPr>
      <w:r w:rsidRPr="007A1122">
        <w:rPr>
          <w:rFonts w:eastAsiaTheme="majorEastAsia" w:cstheme="majorBidi"/>
          <w:szCs w:val="26"/>
        </w:rPr>
        <w:t>The University places a priority on working with partners to ensure</w:t>
      </w:r>
      <w:r w:rsidR="006F6526">
        <w:rPr>
          <w:rFonts w:eastAsiaTheme="majorEastAsia" w:cstheme="majorBidi"/>
          <w:szCs w:val="26"/>
        </w:rPr>
        <w:t xml:space="preserve"> its</w:t>
      </w:r>
      <w:r w:rsidRPr="007A1122">
        <w:rPr>
          <w:rFonts w:eastAsiaTheme="majorEastAsia" w:cstheme="majorBidi"/>
          <w:szCs w:val="26"/>
        </w:rPr>
        <w:t xml:space="preserve"> provide a safe environment for all. </w:t>
      </w:r>
      <w:r w:rsidR="00F249C2">
        <w:rPr>
          <w:rFonts w:eastAsiaTheme="majorEastAsia" w:cstheme="majorBidi"/>
          <w:szCs w:val="26"/>
        </w:rPr>
        <w:t xml:space="preserve">It </w:t>
      </w:r>
      <w:r w:rsidRPr="007A1122">
        <w:rPr>
          <w:rFonts w:eastAsiaTheme="majorEastAsia" w:cstheme="majorBidi"/>
          <w:szCs w:val="26"/>
        </w:rPr>
        <w:t>actively engage</w:t>
      </w:r>
      <w:r w:rsidR="00F249C2">
        <w:rPr>
          <w:rFonts w:eastAsiaTheme="majorEastAsia" w:cstheme="majorBidi"/>
          <w:szCs w:val="26"/>
        </w:rPr>
        <w:t>s</w:t>
      </w:r>
      <w:r w:rsidRPr="007A1122">
        <w:rPr>
          <w:rFonts w:eastAsiaTheme="majorEastAsia" w:cstheme="majorBidi"/>
          <w:szCs w:val="26"/>
        </w:rPr>
        <w:t xml:space="preserve"> with </w:t>
      </w:r>
      <w:r w:rsidR="00F249C2">
        <w:rPr>
          <w:rFonts w:eastAsiaTheme="majorEastAsia" w:cstheme="majorBidi"/>
          <w:szCs w:val="26"/>
        </w:rPr>
        <w:t xml:space="preserve">the </w:t>
      </w:r>
      <w:r w:rsidRPr="007A1122">
        <w:rPr>
          <w:rFonts w:eastAsiaTheme="majorEastAsia" w:cstheme="majorBidi"/>
          <w:szCs w:val="26"/>
        </w:rPr>
        <w:t>South Wales H</w:t>
      </w:r>
      <w:r w:rsidR="00F249C2">
        <w:rPr>
          <w:rFonts w:eastAsiaTheme="majorEastAsia" w:cstheme="majorBidi"/>
          <w:szCs w:val="26"/>
        </w:rPr>
        <w:t xml:space="preserve">igher </w:t>
      </w:r>
      <w:r w:rsidRPr="007A1122">
        <w:rPr>
          <w:rFonts w:eastAsiaTheme="majorEastAsia" w:cstheme="majorBidi"/>
          <w:szCs w:val="26"/>
        </w:rPr>
        <w:t>E</w:t>
      </w:r>
      <w:r w:rsidR="00F249C2">
        <w:rPr>
          <w:rFonts w:eastAsiaTheme="majorEastAsia" w:cstheme="majorBidi"/>
          <w:szCs w:val="26"/>
        </w:rPr>
        <w:t>ducation</w:t>
      </w:r>
      <w:r w:rsidRPr="007A1122">
        <w:rPr>
          <w:rFonts w:eastAsiaTheme="majorEastAsia" w:cstheme="majorBidi"/>
          <w:szCs w:val="26"/>
        </w:rPr>
        <w:t xml:space="preserve"> Prevent </w:t>
      </w:r>
      <w:r w:rsidR="00B07087" w:rsidRPr="007A1122">
        <w:rPr>
          <w:rFonts w:eastAsiaTheme="majorEastAsia" w:cstheme="majorBidi"/>
          <w:szCs w:val="26"/>
        </w:rPr>
        <w:t>Forum</w:t>
      </w:r>
      <w:r w:rsidR="00B07087">
        <w:rPr>
          <w:rFonts w:eastAsiaTheme="majorEastAsia" w:cstheme="majorBidi"/>
          <w:szCs w:val="26"/>
        </w:rPr>
        <w:t xml:space="preserve"> and</w:t>
      </w:r>
      <w:r w:rsidR="00C1056B">
        <w:rPr>
          <w:rFonts w:eastAsiaTheme="majorEastAsia" w:cstheme="majorBidi"/>
          <w:szCs w:val="26"/>
        </w:rPr>
        <w:t xml:space="preserve"> </w:t>
      </w:r>
      <w:r w:rsidR="006D69D5">
        <w:rPr>
          <w:rFonts w:eastAsiaTheme="majorEastAsia" w:cstheme="majorBidi"/>
          <w:szCs w:val="26"/>
        </w:rPr>
        <w:t xml:space="preserve">attends </w:t>
      </w:r>
      <w:r w:rsidR="00C1056B">
        <w:rPr>
          <w:rFonts w:eastAsiaTheme="majorEastAsia" w:cstheme="majorBidi"/>
          <w:szCs w:val="26"/>
        </w:rPr>
        <w:t xml:space="preserve">the Prevent Board </w:t>
      </w:r>
      <w:r w:rsidR="006D69D5">
        <w:rPr>
          <w:rFonts w:eastAsiaTheme="majorEastAsia" w:cstheme="majorBidi"/>
          <w:szCs w:val="26"/>
        </w:rPr>
        <w:t xml:space="preserve">that </w:t>
      </w:r>
      <w:r w:rsidRPr="007A1122">
        <w:rPr>
          <w:rFonts w:eastAsiaTheme="majorEastAsia" w:cstheme="majorBidi"/>
          <w:szCs w:val="26"/>
        </w:rPr>
        <w:t>work</w:t>
      </w:r>
      <w:r w:rsidR="00F249C2">
        <w:rPr>
          <w:rFonts w:eastAsiaTheme="majorEastAsia" w:cstheme="majorBidi"/>
          <w:szCs w:val="26"/>
        </w:rPr>
        <w:t>s</w:t>
      </w:r>
      <w:r w:rsidRPr="007A1122">
        <w:rPr>
          <w:rFonts w:eastAsiaTheme="majorEastAsia" w:cstheme="majorBidi"/>
          <w:szCs w:val="26"/>
        </w:rPr>
        <w:t xml:space="preserve"> in partnership </w:t>
      </w:r>
      <w:r w:rsidR="005B5925">
        <w:rPr>
          <w:rFonts w:eastAsiaTheme="majorEastAsia" w:cstheme="majorBidi"/>
          <w:szCs w:val="26"/>
        </w:rPr>
        <w:t xml:space="preserve">with central and local </w:t>
      </w:r>
      <w:r w:rsidRPr="007A1122">
        <w:rPr>
          <w:rFonts w:eastAsiaTheme="majorEastAsia" w:cstheme="majorBidi"/>
          <w:szCs w:val="26"/>
        </w:rPr>
        <w:t>government and security services to share information and best practice.</w:t>
      </w:r>
    </w:p>
    <w:p w14:paraId="7FB57843" w14:textId="6C55AD93" w:rsidR="002B6A85" w:rsidRPr="00C75A6A" w:rsidRDefault="002B6A85" w:rsidP="00C75A6A">
      <w:pPr>
        <w:numPr>
          <w:ilvl w:val="0"/>
          <w:numId w:val="4"/>
        </w:numPr>
        <w:spacing w:after="0"/>
        <w:ind w:left="431" w:hanging="431"/>
        <w:outlineLvl w:val="0"/>
        <w:rPr>
          <w:rFonts w:ascii="Altis Book" w:eastAsiaTheme="majorEastAsia" w:hAnsi="Altis Book" w:cstheme="majorBidi"/>
          <w:color w:val="415464"/>
          <w:sz w:val="28"/>
          <w:szCs w:val="32"/>
        </w:rPr>
      </w:pPr>
      <w:bookmarkStart w:id="30" w:name="_Toc211587871"/>
      <w:bookmarkStart w:id="31" w:name="_Toc157413476"/>
      <w:bookmarkEnd w:id="26"/>
      <w:bookmarkEnd w:id="27"/>
      <w:r>
        <w:rPr>
          <w:rFonts w:ascii="Altis Book" w:eastAsiaTheme="majorEastAsia" w:hAnsi="Altis Book" w:cstheme="majorBidi"/>
          <w:color w:val="415464"/>
          <w:sz w:val="28"/>
          <w:szCs w:val="32"/>
        </w:rPr>
        <w:t>Roles and Responsibilities</w:t>
      </w:r>
      <w:bookmarkEnd w:id="30"/>
    </w:p>
    <w:p w14:paraId="70EA06F1" w14:textId="05531CD5" w:rsidR="002B6A85" w:rsidRDefault="002B6A85" w:rsidP="002B6A85">
      <w:pPr>
        <w:pStyle w:val="Heading2"/>
      </w:pPr>
      <w:r>
        <w:t xml:space="preserve">All staff have a responsibility to ensure that they are aware of the requirements of </w:t>
      </w:r>
      <w:r w:rsidR="00777C35">
        <w:t xml:space="preserve">the </w:t>
      </w:r>
      <w:r>
        <w:t>Prevent</w:t>
      </w:r>
      <w:r w:rsidR="00777C35">
        <w:t xml:space="preserve"> Duty</w:t>
      </w:r>
      <w:r>
        <w:t xml:space="preserve"> as </w:t>
      </w:r>
      <w:r w:rsidR="00777C35">
        <w:t>outlined</w:t>
      </w:r>
      <w:r>
        <w:t xml:space="preserve"> in this Policy.</w:t>
      </w:r>
      <w:r w:rsidR="0097231C">
        <w:t xml:space="preserve"> There is a requirement for all staff members to undertake training on Prevent.</w:t>
      </w:r>
    </w:p>
    <w:p w14:paraId="01BA5D34" w14:textId="3E74DBE6" w:rsidR="0097231C" w:rsidRDefault="002B6A85" w:rsidP="0097231C">
      <w:pPr>
        <w:pStyle w:val="Heading2"/>
      </w:pPr>
      <w:r>
        <w:t xml:space="preserve">The University Secretary is the Prevent Lead </w:t>
      </w:r>
      <w:r w:rsidR="0097231C">
        <w:t xml:space="preserve">for the University and is responsible for the University’s overarching policy framework and </w:t>
      </w:r>
      <w:r w:rsidR="0097231C" w:rsidRPr="0097231C">
        <w:rPr>
          <w:rStyle w:val="cf01"/>
          <w:rFonts w:ascii="Arial" w:hAnsi="Arial" w:cs="Arial"/>
          <w:sz w:val="24"/>
          <w:szCs w:val="24"/>
        </w:rPr>
        <w:t xml:space="preserve">providing assurance to the Board of Governors and external regulators of </w:t>
      </w:r>
      <w:r w:rsidR="00C75A6A">
        <w:rPr>
          <w:rStyle w:val="cf01"/>
          <w:rFonts w:ascii="Arial" w:hAnsi="Arial" w:cs="Arial"/>
          <w:sz w:val="24"/>
          <w:szCs w:val="24"/>
        </w:rPr>
        <w:t xml:space="preserve">the University’s </w:t>
      </w:r>
      <w:r w:rsidR="0097231C" w:rsidRPr="0097231C">
        <w:rPr>
          <w:rStyle w:val="cf01"/>
          <w:rFonts w:ascii="Arial" w:hAnsi="Arial" w:cs="Arial"/>
          <w:sz w:val="24"/>
          <w:szCs w:val="24"/>
        </w:rPr>
        <w:t>compliance with the P</w:t>
      </w:r>
      <w:r w:rsidR="0097231C">
        <w:rPr>
          <w:rStyle w:val="cf01"/>
          <w:rFonts w:ascii="Arial" w:hAnsi="Arial" w:cs="Arial"/>
          <w:sz w:val="24"/>
          <w:szCs w:val="24"/>
        </w:rPr>
        <w:t>r</w:t>
      </w:r>
      <w:r w:rsidR="0097231C" w:rsidRPr="0097231C">
        <w:rPr>
          <w:rStyle w:val="cf01"/>
          <w:rFonts w:ascii="Arial" w:hAnsi="Arial" w:cs="Arial"/>
          <w:sz w:val="24"/>
          <w:szCs w:val="24"/>
        </w:rPr>
        <w:t>event Duty</w:t>
      </w:r>
      <w:r w:rsidR="0097231C">
        <w:rPr>
          <w:rStyle w:val="cf01"/>
          <w:rFonts w:ascii="Arial" w:hAnsi="Arial" w:cs="Arial"/>
          <w:sz w:val="24"/>
          <w:szCs w:val="24"/>
        </w:rPr>
        <w:t xml:space="preserve">. The University Secretary chairs the Prevent Duty </w:t>
      </w:r>
      <w:r w:rsidR="0097231C" w:rsidRPr="0097231C">
        <w:rPr>
          <w:rStyle w:val="cf01"/>
          <w:rFonts w:ascii="Arial" w:hAnsi="Arial" w:cs="Arial"/>
          <w:sz w:val="24"/>
          <w:szCs w:val="24"/>
        </w:rPr>
        <w:t>Co-ord</w:t>
      </w:r>
      <w:r w:rsidR="0097231C">
        <w:rPr>
          <w:rStyle w:val="cf01"/>
          <w:rFonts w:ascii="Arial" w:hAnsi="Arial" w:cs="Arial"/>
          <w:sz w:val="24"/>
          <w:szCs w:val="24"/>
        </w:rPr>
        <w:t>i</w:t>
      </w:r>
      <w:r w:rsidR="0097231C" w:rsidRPr="0097231C">
        <w:rPr>
          <w:rStyle w:val="cf01"/>
          <w:rFonts w:ascii="Arial" w:hAnsi="Arial" w:cs="Arial"/>
          <w:sz w:val="24"/>
          <w:szCs w:val="24"/>
        </w:rPr>
        <w:t>nation Group.</w:t>
      </w:r>
    </w:p>
    <w:p w14:paraId="71D332F1" w14:textId="77777777" w:rsidR="00694B2C" w:rsidRDefault="0097231C" w:rsidP="002B6A85">
      <w:pPr>
        <w:pStyle w:val="Heading2"/>
      </w:pPr>
      <w:r>
        <w:t xml:space="preserve">The Head of Compliance acts as the Prevent Co-ordinator and is </w:t>
      </w:r>
      <w:r w:rsidRPr="00CF559B">
        <w:t>responsible for policy development, the production and review of the Prevent Risk Assessment and Action Plan, operational implementation of th</w:t>
      </w:r>
      <w:r>
        <w:t>e</w:t>
      </w:r>
      <w:r w:rsidRPr="00CF559B">
        <w:t xml:space="preserve"> Policy, managing relationships with key external partners and stakeholders, and undertaking the annual monitoring exercise required by the regulator</w:t>
      </w:r>
      <w:r w:rsidR="006900C1">
        <w:t>.</w:t>
      </w:r>
    </w:p>
    <w:p w14:paraId="5C008BD5" w14:textId="77777777" w:rsidR="00694B2C" w:rsidRDefault="00694B2C" w:rsidP="00694B2C">
      <w:pPr>
        <w:pStyle w:val="Heading2"/>
        <w:numPr>
          <w:ilvl w:val="0"/>
          <w:numId w:val="0"/>
        </w:numPr>
        <w:ind w:left="576"/>
      </w:pPr>
    </w:p>
    <w:p w14:paraId="119506C0" w14:textId="4E563372" w:rsidR="002B6A85" w:rsidRPr="002B6A85" w:rsidRDefault="002B6A85" w:rsidP="00694B2C">
      <w:pPr>
        <w:pStyle w:val="Heading2"/>
        <w:numPr>
          <w:ilvl w:val="0"/>
          <w:numId w:val="0"/>
        </w:numPr>
        <w:ind w:left="576"/>
      </w:pPr>
      <w:r>
        <w:tab/>
      </w:r>
    </w:p>
    <w:p w14:paraId="6626248E" w14:textId="7ECCB2B3" w:rsidR="00657DE0" w:rsidRPr="00E03E8E" w:rsidRDefault="00657DE0" w:rsidP="00E03E8E">
      <w:pPr>
        <w:numPr>
          <w:ilvl w:val="0"/>
          <w:numId w:val="4"/>
        </w:numPr>
        <w:spacing w:after="0"/>
        <w:ind w:left="431" w:hanging="431"/>
        <w:outlineLvl w:val="0"/>
        <w:rPr>
          <w:rFonts w:ascii="Altis Book" w:eastAsiaTheme="majorEastAsia" w:hAnsi="Altis Book" w:cstheme="majorBidi"/>
          <w:color w:val="415464"/>
          <w:sz w:val="28"/>
          <w:szCs w:val="32"/>
        </w:rPr>
      </w:pPr>
      <w:bookmarkStart w:id="32" w:name="_Toc211587872"/>
      <w:r>
        <w:rPr>
          <w:rFonts w:ascii="Altis Book" w:eastAsiaTheme="majorEastAsia" w:hAnsi="Altis Book" w:cstheme="majorBidi"/>
          <w:color w:val="415464"/>
          <w:sz w:val="28"/>
          <w:szCs w:val="32"/>
        </w:rPr>
        <w:lastRenderedPageBreak/>
        <w:t>Prevent Duty Co-ordination Group</w:t>
      </w:r>
      <w:bookmarkEnd w:id="32"/>
    </w:p>
    <w:p w14:paraId="36629279" w14:textId="530F69D2" w:rsidR="00C75A6A" w:rsidRDefault="00146BD0" w:rsidP="00C75A6A">
      <w:pPr>
        <w:pStyle w:val="Heading2"/>
      </w:pPr>
      <w:r w:rsidRPr="0072274B">
        <w:t>The University has a Prevent Duty Co-ordination Group (‘the Group’) that meets throughout the academic year to monitor the University’s compliance with the Prevent Duty</w:t>
      </w:r>
    </w:p>
    <w:p w14:paraId="45B2FA2C" w14:textId="7835836B" w:rsidR="00883B41" w:rsidRPr="007D3347" w:rsidRDefault="00146BD0" w:rsidP="00C75A6A">
      <w:pPr>
        <w:pStyle w:val="Heading2"/>
      </w:pPr>
      <w:r w:rsidRPr="00E03E8E">
        <w:rPr>
          <w:rFonts w:cs="Arial"/>
          <w:szCs w:val="24"/>
        </w:rPr>
        <w:t>The Group is chaired by the Uni</w:t>
      </w:r>
      <w:r w:rsidR="00E03E8E">
        <w:rPr>
          <w:rFonts w:cs="Arial"/>
          <w:szCs w:val="24"/>
        </w:rPr>
        <w:t>v</w:t>
      </w:r>
      <w:r w:rsidRPr="00E03E8E">
        <w:rPr>
          <w:rFonts w:cs="Arial"/>
          <w:szCs w:val="24"/>
        </w:rPr>
        <w:t>ers</w:t>
      </w:r>
      <w:r w:rsidR="00E03E8E">
        <w:rPr>
          <w:rFonts w:cs="Arial"/>
          <w:szCs w:val="24"/>
        </w:rPr>
        <w:t>i</w:t>
      </w:r>
      <w:r w:rsidRPr="00E03E8E">
        <w:rPr>
          <w:rFonts w:cs="Arial"/>
          <w:szCs w:val="24"/>
        </w:rPr>
        <w:t xml:space="preserve">ty </w:t>
      </w:r>
      <w:r w:rsidR="00E03E8E">
        <w:rPr>
          <w:rFonts w:cs="Arial"/>
          <w:szCs w:val="24"/>
        </w:rPr>
        <w:t>S</w:t>
      </w:r>
      <w:r w:rsidRPr="00E03E8E">
        <w:rPr>
          <w:rFonts w:cs="Arial"/>
          <w:szCs w:val="24"/>
        </w:rPr>
        <w:t>ecre</w:t>
      </w:r>
      <w:r w:rsidR="00E03E8E">
        <w:rPr>
          <w:rFonts w:cs="Arial"/>
          <w:szCs w:val="24"/>
        </w:rPr>
        <w:t>t</w:t>
      </w:r>
      <w:r w:rsidRPr="00E03E8E">
        <w:rPr>
          <w:rFonts w:cs="Arial"/>
          <w:szCs w:val="24"/>
        </w:rPr>
        <w:t>ary and is managed by the Head of Compliance as the Prevent Co-ordinator. Members o</w:t>
      </w:r>
      <w:r w:rsidR="003A6B26">
        <w:rPr>
          <w:rFonts w:cs="Arial"/>
          <w:szCs w:val="24"/>
        </w:rPr>
        <w:t>f</w:t>
      </w:r>
      <w:r w:rsidRPr="00E03E8E">
        <w:rPr>
          <w:rFonts w:cs="Arial"/>
          <w:szCs w:val="24"/>
        </w:rPr>
        <w:t xml:space="preserve"> the group include senior staff from each academic school, professional services department, and the Students’ Union. </w:t>
      </w:r>
    </w:p>
    <w:p w14:paraId="653AAC35" w14:textId="570226C7" w:rsidR="00A5325A" w:rsidRPr="00661609" w:rsidRDefault="000E3AD2" w:rsidP="00D74743">
      <w:pPr>
        <w:numPr>
          <w:ilvl w:val="0"/>
          <w:numId w:val="4"/>
        </w:numPr>
        <w:spacing w:after="0"/>
        <w:ind w:left="431" w:hanging="431"/>
        <w:outlineLvl w:val="0"/>
      </w:pPr>
      <w:bookmarkStart w:id="33" w:name="_Toc82757113"/>
      <w:bookmarkStart w:id="34" w:name="_Toc211587873"/>
      <w:r w:rsidRPr="00661609">
        <w:rPr>
          <w:rFonts w:ascii="Altis Book" w:hAnsi="Altis Book"/>
          <w:color w:val="415464"/>
          <w:sz w:val="28"/>
        </w:rPr>
        <w:t>Risk Assessment and Action Plan</w:t>
      </w:r>
      <w:bookmarkEnd w:id="33"/>
      <w:bookmarkEnd w:id="34"/>
      <w:r w:rsidR="00AA4AA5">
        <w:rPr>
          <w:rFonts w:ascii="Altis Book" w:eastAsiaTheme="majorEastAsia" w:hAnsi="Altis Book" w:cstheme="majorBidi"/>
          <w:color w:val="415464"/>
          <w:sz w:val="28"/>
          <w:szCs w:val="32"/>
        </w:rPr>
        <w:t xml:space="preserve"> </w:t>
      </w:r>
    </w:p>
    <w:p w14:paraId="4E1F95F2" w14:textId="576A55C0" w:rsidR="00F20049" w:rsidRPr="00842189" w:rsidRDefault="00842189" w:rsidP="00F20049">
      <w:pPr>
        <w:pStyle w:val="Heading2"/>
      </w:pPr>
      <w:r>
        <w:t>T</w:t>
      </w:r>
      <w:r w:rsidR="00F20049" w:rsidRPr="0072274B">
        <w:t>he work of the Prevent Duty Co</w:t>
      </w:r>
      <w:r>
        <w:t>-</w:t>
      </w:r>
      <w:r w:rsidR="00F20049" w:rsidRPr="0072274B">
        <w:t>ordination Group is informed by a Risk Assessment and Action Plan, which are reviewed regularly</w:t>
      </w:r>
      <w:r w:rsidR="00D87597">
        <w:t xml:space="preserve"> and discussed at each meeting</w:t>
      </w:r>
      <w:r w:rsidR="00F20049" w:rsidRPr="0072274B">
        <w:t xml:space="preserve">. The Risk Assessment is monitored and amended </w:t>
      </w:r>
      <w:r w:rsidR="00CD1007" w:rsidRPr="0072274B">
        <w:t>considering</w:t>
      </w:r>
      <w:r w:rsidR="00F20049" w:rsidRPr="0072274B">
        <w:t xml:space="preserve"> information and updates on current risks received from external partners such as Counter Terrorism Local Policing. </w:t>
      </w:r>
      <w:r w:rsidR="00F20049" w:rsidRPr="00842189">
        <w:rPr>
          <w:rFonts w:cs="Arial"/>
          <w:szCs w:val="24"/>
        </w:rPr>
        <w:t>The Action Plan sets out how the various policies and procedures will be used to mitigate risks in the key areas provided in statutory guidance.</w:t>
      </w:r>
    </w:p>
    <w:p w14:paraId="7F4B8D4C" w14:textId="1891C8D1" w:rsidR="002E7B91" w:rsidRDefault="002E7B91" w:rsidP="002E7B91">
      <w:pPr>
        <w:pStyle w:val="Heading1"/>
      </w:pPr>
      <w:bookmarkStart w:id="35" w:name="_Toc211587875"/>
      <w:r>
        <w:t>Freedom of Speech and Academic Freedom</w:t>
      </w:r>
      <w:bookmarkEnd w:id="35"/>
    </w:p>
    <w:p w14:paraId="055A5367" w14:textId="338EC84D" w:rsidR="00436359" w:rsidRDefault="003D4F65" w:rsidP="00D74743">
      <w:pPr>
        <w:pStyle w:val="Heading2"/>
      </w:pPr>
      <w:r w:rsidRPr="0072274B">
        <w:t>The University is committed to upholding the legal principles of freedom of speech and academic freed</w:t>
      </w:r>
      <w:r w:rsidR="00D94E83">
        <w:t xml:space="preserve">om. </w:t>
      </w:r>
      <w:r w:rsidR="00443BB1">
        <w:t xml:space="preserve">Free and open debate </w:t>
      </w:r>
      <w:r w:rsidR="008C7851">
        <w:t xml:space="preserve">of sometimes </w:t>
      </w:r>
      <w:r w:rsidR="002A73BB">
        <w:t>controversial</w:t>
      </w:r>
      <w:r w:rsidR="008C7851">
        <w:t xml:space="preserve"> topics is integral to </w:t>
      </w:r>
      <w:r w:rsidR="002A73BB">
        <w:t>academic study and research.</w:t>
      </w:r>
      <w:r w:rsidR="008C7851">
        <w:t xml:space="preserve"> </w:t>
      </w:r>
      <w:r w:rsidR="00B738AC">
        <w:t xml:space="preserve">Through its </w:t>
      </w:r>
      <w:r w:rsidR="00000C58" w:rsidRPr="0072274B">
        <w:t xml:space="preserve">Code of Practice </w:t>
      </w:r>
      <w:r w:rsidR="00B738AC">
        <w:t xml:space="preserve">on </w:t>
      </w:r>
      <w:r w:rsidR="00000C58" w:rsidRPr="0072274B">
        <w:t>Freedom of Speech th</w:t>
      </w:r>
      <w:r w:rsidR="00B738AC">
        <w:t xml:space="preserve">e University </w:t>
      </w:r>
      <w:r w:rsidR="00000C58" w:rsidRPr="0072274B">
        <w:t xml:space="preserve">specifies how </w:t>
      </w:r>
      <w:r w:rsidR="00B738AC">
        <w:t>it</w:t>
      </w:r>
      <w:r w:rsidR="002F1FEE">
        <w:t xml:space="preserve"> </w:t>
      </w:r>
      <w:r w:rsidR="00000C58" w:rsidRPr="0072274B">
        <w:t xml:space="preserve">will balance </w:t>
      </w:r>
      <w:r w:rsidR="0000255F">
        <w:t xml:space="preserve">compliance with </w:t>
      </w:r>
      <w:r w:rsidR="009757A9">
        <w:t xml:space="preserve">the Prevent Duty </w:t>
      </w:r>
      <w:r w:rsidR="00620083">
        <w:t>and the need to</w:t>
      </w:r>
      <w:r w:rsidR="00571D50" w:rsidRPr="00571D50">
        <w:t xml:space="preserve"> </w:t>
      </w:r>
      <w:r w:rsidR="00571D50" w:rsidRPr="0072274B">
        <w:t>prevent individuals from being drawn into terrorism</w:t>
      </w:r>
      <w:r w:rsidR="00571D50">
        <w:t xml:space="preserve"> </w:t>
      </w:r>
      <w:r w:rsidR="009757A9">
        <w:t>against other</w:t>
      </w:r>
      <w:r w:rsidR="00620083">
        <w:t xml:space="preserve"> legal duties for </w:t>
      </w:r>
      <w:r w:rsidR="00000C58" w:rsidRPr="0072274B">
        <w:t>the p</w:t>
      </w:r>
      <w:r w:rsidR="00D94E83">
        <w:t>r</w:t>
      </w:r>
      <w:r w:rsidR="00000C58" w:rsidRPr="0072274B">
        <w:t>o</w:t>
      </w:r>
      <w:r w:rsidR="00D94E83">
        <w:t>t</w:t>
      </w:r>
      <w:r w:rsidR="00000C58" w:rsidRPr="0072274B">
        <w:t xml:space="preserve">ection of </w:t>
      </w:r>
      <w:r w:rsidR="00D94E83">
        <w:t xml:space="preserve">the </w:t>
      </w:r>
      <w:r w:rsidR="00000C58" w:rsidRPr="0072274B">
        <w:t>freedom of speech (Section 43 Education Act</w:t>
      </w:r>
      <w:r w:rsidR="00D35396">
        <w:t xml:space="preserve"> (No 2) Act </w:t>
      </w:r>
      <w:r w:rsidR="00897C30">
        <w:t>1986</w:t>
      </w:r>
      <w:r w:rsidR="00000C58" w:rsidRPr="0072274B">
        <w:t>)</w:t>
      </w:r>
      <w:r w:rsidR="00274A5B">
        <w:t xml:space="preserve">, </w:t>
      </w:r>
      <w:r w:rsidR="00000C58" w:rsidRPr="0072274B">
        <w:t>academic freedom (Section 202 Education Reform Act 1998)</w:t>
      </w:r>
      <w:r w:rsidR="002959F3">
        <w:t>, and equality (Equalities Act 2010)</w:t>
      </w:r>
      <w:r w:rsidR="00571D50">
        <w:t xml:space="preserve">. </w:t>
      </w:r>
      <w:r w:rsidR="00000C58" w:rsidRPr="0072274B">
        <w:t xml:space="preserve">In complying with the </w:t>
      </w:r>
      <w:r w:rsidR="00897C30" w:rsidRPr="0072274B">
        <w:t>Prevent</w:t>
      </w:r>
      <w:r w:rsidR="00000C58" w:rsidRPr="0072274B">
        <w:t xml:space="preserve"> </w:t>
      </w:r>
      <w:r w:rsidR="00897C30" w:rsidRPr="0072274B">
        <w:t>Duty</w:t>
      </w:r>
      <w:r w:rsidR="00000C58" w:rsidRPr="0072274B">
        <w:t xml:space="preserve"> the </w:t>
      </w:r>
      <w:r w:rsidR="00897C30" w:rsidRPr="0072274B">
        <w:t>University</w:t>
      </w:r>
      <w:r w:rsidR="00000C58" w:rsidRPr="0072274B">
        <w:t xml:space="preserve"> will not provide a platform for any </w:t>
      </w:r>
      <w:r w:rsidR="00897C30" w:rsidRPr="0072274B">
        <w:t>terrorist</w:t>
      </w:r>
      <w:r w:rsidR="00000C58" w:rsidRPr="0072274B">
        <w:t xml:space="preserve"> organisation proscribed under the </w:t>
      </w:r>
      <w:r w:rsidR="00897C30" w:rsidRPr="0072274B">
        <w:t>Terrorism</w:t>
      </w:r>
      <w:r w:rsidR="00000C58" w:rsidRPr="0072274B">
        <w:t xml:space="preserve"> Act 2000.  </w:t>
      </w:r>
    </w:p>
    <w:p w14:paraId="00486D20" w14:textId="6F8EDB8D" w:rsidR="00F45BE5" w:rsidRPr="002E7B91" w:rsidRDefault="00790584" w:rsidP="00D74743">
      <w:pPr>
        <w:pStyle w:val="Heading2"/>
      </w:pPr>
      <w:r>
        <w:t>Procedures are outlined in the Code of Practice</w:t>
      </w:r>
      <w:r w:rsidR="002B0A47">
        <w:t xml:space="preserve"> on Freedom of Speech</w:t>
      </w:r>
      <w:r>
        <w:t xml:space="preserve"> for the approval of external speakers and events</w:t>
      </w:r>
      <w:r w:rsidR="00A22581">
        <w:t xml:space="preserve"> at the University (on premises and on-line)</w:t>
      </w:r>
      <w:r>
        <w:t xml:space="preserve">. </w:t>
      </w:r>
      <w:r w:rsidR="00436359" w:rsidRPr="0072274B">
        <w:t>The Code se</w:t>
      </w:r>
      <w:r>
        <w:t>t</w:t>
      </w:r>
      <w:r w:rsidR="00436359" w:rsidRPr="0072274B">
        <w:t>s out measures that may be taken by the Univer</w:t>
      </w:r>
      <w:r>
        <w:t>si</w:t>
      </w:r>
      <w:r w:rsidR="00436359" w:rsidRPr="0072274B">
        <w:t xml:space="preserve">ty to ensure </w:t>
      </w:r>
      <w:r w:rsidR="009F5851" w:rsidRPr="0072274B">
        <w:t>controve</w:t>
      </w:r>
      <w:r w:rsidR="009F5851">
        <w:t>rsial</w:t>
      </w:r>
      <w:r w:rsidR="00436359" w:rsidRPr="0072274B">
        <w:t xml:space="preserve"> views and opinions are checked and balanced. The </w:t>
      </w:r>
      <w:r w:rsidR="009F5851" w:rsidRPr="0072274B">
        <w:t>Prevent</w:t>
      </w:r>
      <w:r w:rsidR="00436359" w:rsidRPr="0072274B">
        <w:t xml:space="preserve"> Co-</w:t>
      </w:r>
      <w:r w:rsidR="009F5851">
        <w:t xml:space="preserve">ordinator </w:t>
      </w:r>
      <w:r w:rsidR="00436359" w:rsidRPr="0072274B">
        <w:t>may seek expert guidance from external partners in reaching a recommendation as to whether a proposed speaker or event should go ahead, and/ or</w:t>
      </w:r>
      <w:r w:rsidR="00FB2918">
        <w:t xml:space="preserve"> </w:t>
      </w:r>
      <w:r w:rsidR="00436359" w:rsidRPr="0072274B">
        <w:t>to identify appropriate and propo</w:t>
      </w:r>
      <w:r w:rsidR="00FB2918">
        <w:t>r</w:t>
      </w:r>
      <w:r w:rsidR="00436359" w:rsidRPr="0072274B">
        <w:t>t</w:t>
      </w:r>
      <w:r w:rsidR="00FB2918">
        <w:t>ionate</w:t>
      </w:r>
      <w:r w:rsidR="00436359" w:rsidRPr="0072274B">
        <w:t xml:space="preserve"> control measures to mitigate any identified risks. </w:t>
      </w:r>
    </w:p>
    <w:p w14:paraId="0936C82E" w14:textId="6667A42A" w:rsidR="002E695E" w:rsidRDefault="006C0C82" w:rsidP="00D74743">
      <w:pPr>
        <w:numPr>
          <w:ilvl w:val="0"/>
          <w:numId w:val="4"/>
        </w:numPr>
        <w:spacing w:after="0"/>
        <w:ind w:left="431" w:hanging="431"/>
        <w:outlineLvl w:val="0"/>
      </w:pPr>
      <w:bookmarkStart w:id="36" w:name="_Toc82757115"/>
      <w:bookmarkStart w:id="37" w:name="_Toc211587876"/>
      <w:bookmarkStart w:id="38" w:name="_Toc77936664"/>
      <w:r w:rsidRPr="00661609">
        <w:rPr>
          <w:rFonts w:ascii="Altis Book" w:hAnsi="Altis Book"/>
          <w:color w:val="415464"/>
          <w:sz w:val="28"/>
        </w:rPr>
        <w:t>Identif</w:t>
      </w:r>
      <w:r w:rsidR="00A824D3" w:rsidRPr="00661609">
        <w:rPr>
          <w:rFonts w:ascii="Altis Book" w:hAnsi="Altis Book"/>
          <w:color w:val="415464"/>
          <w:sz w:val="28"/>
        </w:rPr>
        <w:t>i</w:t>
      </w:r>
      <w:r w:rsidRPr="00661609">
        <w:rPr>
          <w:rFonts w:ascii="Altis Book" w:hAnsi="Altis Book"/>
          <w:color w:val="415464"/>
          <w:sz w:val="28"/>
        </w:rPr>
        <w:t>c</w:t>
      </w:r>
      <w:r w:rsidR="00A824D3" w:rsidRPr="00661609">
        <w:rPr>
          <w:rFonts w:ascii="Altis Book" w:hAnsi="Altis Book"/>
          <w:color w:val="415464"/>
          <w:sz w:val="28"/>
        </w:rPr>
        <w:t>a</w:t>
      </w:r>
      <w:r w:rsidRPr="00661609">
        <w:rPr>
          <w:rFonts w:ascii="Altis Book" w:hAnsi="Altis Book"/>
          <w:color w:val="415464"/>
          <w:sz w:val="28"/>
        </w:rPr>
        <w:t>tion</w:t>
      </w:r>
      <w:r>
        <w:rPr>
          <w:rFonts w:ascii="Altis Book" w:eastAsiaTheme="majorEastAsia" w:hAnsi="Altis Book" w:cstheme="majorBidi"/>
          <w:color w:val="415464"/>
          <w:sz w:val="28"/>
          <w:szCs w:val="32"/>
        </w:rPr>
        <w:t xml:space="preserve"> and</w:t>
      </w:r>
      <w:r w:rsidRPr="00661609">
        <w:rPr>
          <w:rFonts w:ascii="Altis Book" w:hAnsi="Altis Book"/>
          <w:color w:val="415464"/>
          <w:sz w:val="28"/>
        </w:rPr>
        <w:t xml:space="preserve"> Support of Vulnerable </w:t>
      </w:r>
      <w:r w:rsidR="00A824D3" w:rsidRPr="00661609">
        <w:rPr>
          <w:rFonts w:ascii="Altis Book" w:hAnsi="Altis Book"/>
          <w:color w:val="415464"/>
          <w:sz w:val="28"/>
        </w:rPr>
        <w:t>People</w:t>
      </w:r>
      <w:bookmarkEnd w:id="36"/>
      <w:bookmarkEnd w:id="37"/>
      <w:r w:rsidR="00A824D3">
        <w:rPr>
          <w:rFonts w:ascii="Altis Book" w:eastAsiaTheme="majorEastAsia" w:hAnsi="Altis Book" w:cstheme="majorBidi"/>
          <w:color w:val="415464"/>
          <w:sz w:val="28"/>
          <w:szCs w:val="32"/>
        </w:rPr>
        <w:t xml:space="preserve"> </w:t>
      </w:r>
      <w:bookmarkEnd w:id="31"/>
    </w:p>
    <w:p w14:paraId="204C8BAA" w14:textId="47AEA31F" w:rsidR="00FE4364" w:rsidRPr="006D11FC" w:rsidRDefault="002416A8" w:rsidP="00D74743">
      <w:pPr>
        <w:pStyle w:val="Heading2"/>
        <w:rPr>
          <w:rFonts w:cstheme="minorBidi"/>
          <w:szCs w:val="22"/>
        </w:rPr>
      </w:pPr>
      <w:r w:rsidRPr="002E695E">
        <w:t xml:space="preserve">There is </w:t>
      </w:r>
      <w:r w:rsidR="002E695E">
        <w:t>si</w:t>
      </w:r>
      <w:r w:rsidRPr="002E695E">
        <w:t>gnif</w:t>
      </w:r>
      <w:r w:rsidR="002E695E">
        <w:t>i</w:t>
      </w:r>
      <w:r w:rsidRPr="002E695E">
        <w:t>c</w:t>
      </w:r>
      <w:r w:rsidR="002E695E">
        <w:t>a</w:t>
      </w:r>
      <w:r w:rsidRPr="002E695E">
        <w:t xml:space="preserve">nt risk </w:t>
      </w:r>
      <w:r w:rsidR="00E14C2F">
        <w:t xml:space="preserve">that members </w:t>
      </w:r>
      <w:r w:rsidR="00283565">
        <w:t xml:space="preserve">of the University community may be targets for radicalisation by </w:t>
      </w:r>
      <w:r w:rsidR="006072DF">
        <w:t>extremist</w:t>
      </w:r>
      <w:r w:rsidR="00283565">
        <w:t xml:space="preserve"> group</w:t>
      </w:r>
      <w:r w:rsidR="007435FD">
        <w:t>s, both face to face and online</w:t>
      </w:r>
      <w:r w:rsidR="00283565">
        <w:t xml:space="preserve"> </w:t>
      </w:r>
      <w:r w:rsidRPr="002E695E">
        <w:t xml:space="preserve">of </w:t>
      </w:r>
      <w:r w:rsidR="006072DF" w:rsidRPr="002E695E">
        <w:t>vulnerable</w:t>
      </w:r>
      <w:r w:rsidRPr="002E695E">
        <w:t xml:space="preserve"> </w:t>
      </w:r>
      <w:r w:rsidR="006072DF" w:rsidRPr="002E695E">
        <w:t>individuals</w:t>
      </w:r>
      <w:r w:rsidRPr="002E695E">
        <w:t xml:space="preserve"> </w:t>
      </w:r>
      <w:r w:rsidR="006072DF" w:rsidRPr="002E695E">
        <w:t>becoming</w:t>
      </w:r>
      <w:r w:rsidRPr="002E695E">
        <w:t xml:space="preserve"> radicalised. The </w:t>
      </w:r>
      <w:r w:rsidR="006072DF" w:rsidRPr="002E695E">
        <w:t>University</w:t>
      </w:r>
      <w:r w:rsidRPr="002E695E">
        <w:t xml:space="preserve"> will therefore seek to identify vulnerable individuals within the </w:t>
      </w:r>
      <w:r w:rsidR="006072DF" w:rsidRPr="002E695E">
        <w:t>University</w:t>
      </w:r>
      <w:r w:rsidRPr="002E695E">
        <w:t xml:space="preserve"> community at the earliest </w:t>
      </w:r>
      <w:r w:rsidRPr="002E695E">
        <w:lastRenderedPageBreak/>
        <w:t xml:space="preserve">stage </w:t>
      </w:r>
      <w:r w:rsidR="00222103" w:rsidRPr="002E695E">
        <w:t>possible and</w:t>
      </w:r>
      <w:r w:rsidRPr="002E695E">
        <w:t xml:space="preserve"> will ensure that approp</w:t>
      </w:r>
      <w:r w:rsidR="00B1633A">
        <w:t>riate</w:t>
      </w:r>
      <w:r w:rsidRPr="002E695E">
        <w:t xml:space="preserve"> su</w:t>
      </w:r>
      <w:r w:rsidR="00B1633A">
        <w:t>p</w:t>
      </w:r>
      <w:r w:rsidRPr="002E695E">
        <w:t>port is pr</w:t>
      </w:r>
      <w:r w:rsidR="00B1633A">
        <w:t>o</w:t>
      </w:r>
      <w:r w:rsidRPr="002E695E">
        <w:t xml:space="preserve">vided. </w:t>
      </w:r>
      <w:r w:rsidR="00935B2D" w:rsidRPr="00DF7E91">
        <w:t>The University is mindful that signs of vulnerability to extremism are common with signs of vulnerability to abuse in all its forms. In such cases,</w:t>
      </w:r>
      <w:r w:rsidR="00A53595">
        <w:t xml:space="preserve"> t</w:t>
      </w:r>
      <w:r w:rsidR="00A53595" w:rsidRPr="002E695E">
        <w:t xml:space="preserve">he </w:t>
      </w:r>
      <w:r w:rsidR="00A53595">
        <w:t>University</w:t>
      </w:r>
      <w:r w:rsidR="00A53595" w:rsidRPr="002E695E">
        <w:t xml:space="preserve"> will adopt a safeguarding approach</w:t>
      </w:r>
      <w:r w:rsidR="0020248A">
        <w:t>. I</w:t>
      </w:r>
      <w:r w:rsidR="00935B2D">
        <w:t xml:space="preserve">t is keen </w:t>
      </w:r>
      <w:r w:rsidR="00935B2D" w:rsidRPr="00DF7E91">
        <w:t xml:space="preserve">to understand the situation fully and put the welfare of the vulnerable person at the heart of </w:t>
      </w:r>
      <w:r w:rsidR="0020248A">
        <w:t>its</w:t>
      </w:r>
      <w:r w:rsidR="00935B2D" w:rsidRPr="00DF7E91">
        <w:t xml:space="preserve"> response and provide appropriate </w:t>
      </w:r>
      <w:r w:rsidR="005D20D5" w:rsidRPr="00DF7E91">
        <w:t>interventions</w:t>
      </w:r>
      <w:r w:rsidR="00FE714C">
        <w:t>.</w:t>
      </w:r>
    </w:p>
    <w:p w14:paraId="4D825E2C" w14:textId="11B4C384" w:rsidR="006D11FC" w:rsidRPr="00745091" w:rsidRDefault="00194EFC" w:rsidP="003B5104">
      <w:pPr>
        <w:pStyle w:val="Heading2"/>
        <w:rPr>
          <w:rFonts w:cstheme="minorBidi"/>
          <w:szCs w:val="22"/>
        </w:rPr>
      </w:pPr>
      <w:r>
        <w:t xml:space="preserve">The University </w:t>
      </w:r>
      <w:r w:rsidR="00BE78A0">
        <w:t xml:space="preserve">provides </w:t>
      </w:r>
      <w:r>
        <w:t>a range of</w:t>
      </w:r>
      <w:r w:rsidR="00BE78A0">
        <w:t xml:space="preserve"> support services to students by the </w:t>
      </w:r>
      <w:r w:rsidR="00EE1EC2">
        <w:t xml:space="preserve">Student Services </w:t>
      </w:r>
      <w:r w:rsidR="00660B40">
        <w:t>Department</w:t>
      </w:r>
      <w:r w:rsidR="007130C9">
        <w:t xml:space="preserve">. Each student upon </w:t>
      </w:r>
      <w:r w:rsidR="00660B40">
        <w:t>enrolling</w:t>
      </w:r>
      <w:r w:rsidR="007130C9">
        <w:t xml:space="preserve"> at Cardiff Met is also assigned a </w:t>
      </w:r>
      <w:r w:rsidR="002871A0">
        <w:t xml:space="preserve">personal tutor. Such </w:t>
      </w:r>
      <w:r w:rsidR="0009455D">
        <w:t xml:space="preserve">measures </w:t>
      </w:r>
      <w:r w:rsidR="0042123D">
        <w:t>can provide continued and active engagement</w:t>
      </w:r>
      <w:r w:rsidR="004B1685">
        <w:t xml:space="preserve"> with </w:t>
      </w:r>
      <w:r w:rsidR="007514E3">
        <w:t>vulnerable students</w:t>
      </w:r>
      <w:r w:rsidR="003B5104">
        <w:t>.</w:t>
      </w:r>
      <w:r w:rsidR="0042123D">
        <w:t xml:space="preserve">  </w:t>
      </w:r>
      <w:r>
        <w:t xml:space="preserve"> </w:t>
      </w:r>
      <w:r w:rsidR="0000361E">
        <w:t xml:space="preserve"> </w:t>
      </w:r>
    </w:p>
    <w:p w14:paraId="4FF0642B" w14:textId="3736D117" w:rsidR="00745091" w:rsidRPr="003B5104" w:rsidRDefault="00CB763E" w:rsidP="003B5104">
      <w:pPr>
        <w:pStyle w:val="Heading2"/>
        <w:rPr>
          <w:rFonts w:cstheme="minorBidi"/>
          <w:szCs w:val="22"/>
        </w:rPr>
      </w:pPr>
      <w:r>
        <w:t>A full package of support is available to s</w:t>
      </w:r>
      <w:r w:rsidR="00745091">
        <w:t>taff</w:t>
      </w:r>
      <w:r>
        <w:t xml:space="preserve"> through the University’s Employee Assistance Programme (EAP).</w:t>
      </w:r>
      <w:r w:rsidR="00745091">
        <w:t xml:space="preserve"> </w:t>
      </w:r>
    </w:p>
    <w:p w14:paraId="2C87B2DA" w14:textId="14BBFA60" w:rsidR="00923D7F" w:rsidRPr="00AB773D" w:rsidRDefault="00CC5573" w:rsidP="00AB773D">
      <w:pPr>
        <w:pStyle w:val="Heading2"/>
        <w:rPr>
          <w:rFonts w:cstheme="minorBidi"/>
          <w:szCs w:val="22"/>
        </w:rPr>
      </w:pPr>
      <w:r>
        <w:t>Concerns about potential vulnerability to radicalisation may become apparent</w:t>
      </w:r>
      <w:r w:rsidR="004C165C">
        <w:t xml:space="preserve"> during a </w:t>
      </w:r>
      <w:r w:rsidR="00745091">
        <w:t xml:space="preserve">disciplinary or other university procedure. </w:t>
      </w:r>
      <w:r w:rsidR="005D424C">
        <w:t xml:space="preserve">In such circumstances, the disciplinary (or other) investigation </w:t>
      </w:r>
      <w:r w:rsidR="00BD6AE0">
        <w:t>and action will progress as norma</w:t>
      </w:r>
      <w:r w:rsidR="00646390">
        <w:t xml:space="preserve">l, but this will not preclude any Prevent risk being assessed and any further action under this Policy </w:t>
      </w:r>
      <w:r w:rsidR="0093058B">
        <w:t xml:space="preserve">taken (including </w:t>
      </w:r>
      <w:r w:rsidR="004314B1">
        <w:t>additional support or external referral).</w:t>
      </w:r>
      <w:r w:rsidR="005D424C">
        <w:t xml:space="preserve"> </w:t>
      </w:r>
      <w:r>
        <w:t xml:space="preserve">  </w:t>
      </w:r>
      <w:bookmarkStart w:id="39" w:name="_Toc157413477"/>
    </w:p>
    <w:p w14:paraId="24DCFD6D" w14:textId="6B919861" w:rsidR="00496685" w:rsidRDefault="00496685" w:rsidP="00496685">
      <w:pPr>
        <w:numPr>
          <w:ilvl w:val="0"/>
          <w:numId w:val="4"/>
        </w:numPr>
        <w:spacing w:after="0"/>
        <w:ind w:left="431" w:hanging="431"/>
        <w:outlineLvl w:val="0"/>
      </w:pPr>
      <w:bookmarkStart w:id="40" w:name="_Toc211587877"/>
      <w:r>
        <w:rPr>
          <w:rFonts w:ascii="Altis Book" w:hAnsi="Altis Book"/>
          <w:color w:val="415464"/>
          <w:sz w:val="28"/>
        </w:rPr>
        <w:t>Multifaith Chaplaincy</w:t>
      </w:r>
      <w:bookmarkEnd w:id="40"/>
    </w:p>
    <w:p w14:paraId="2C9B8494" w14:textId="77777777" w:rsidR="007E6458" w:rsidRDefault="00944352" w:rsidP="007E6458">
      <w:pPr>
        <w:pStyle w:val="Heading2"/>
      </w:pPr>
      <w:r>
        <w:t xml:space="preserve">The Co-ordinating Chaplin provides pastoral support </w:t>
      </w:r>
      <w:r w:rsidR="00F37315">
        <w:t xml:space="preserve">in relation to </w:t>
      </w:r>
      <w:r w:rsidR="00CF23CA">
        <w:t>faith and spirituality, and bereavement.</w:t>
      </w:r>
    </w:p>
    <w:p w14:paraId="01481089" w14:textId="0757F44E" w:rsidR="00496685" w:rsidRPr="00496685" w:rsidRDefault="00046147" w:rsidP="00AB773D">
      <w:pPr>
        <w:pStyle w:val="Heading2"/>
      </w:pPr>
      <w:r>
        <w:t xml:space="preserve">The University seeks to ensure that there is appropriate provision </w:t>
      </w:r>
      <w:r w:rsidR="006C4095">
        <w:t>on all of its campuses</w:t>
      </w:r>
      <w:r w:rsidR="00D715C6">
        <w:t xml:space="preserve"> for individuals of any faith (and those with none) to access appropriate facilities for pastoral case </w:t>
      </w:r>
      <w:r w:rsidR="001951EA">
        <w:t>and for</w:t>
      </w:r>
      <w:r w:rsidR="00DA0BA1">
        <w:t xml:space="preserve"> religious or spiritual purposes. Space for pr</w:t>
      </w:r>
      <w:r w:rsidR="001413B1">
        <w:t>a</w:t>
      </w:r>
      <w:r w:rsidR="00DA0BA1">
        <w:t>yer</w:t>
      </w:r>
      <w:r w:rsidR="001413B1">
        <w:t xml:space="preserve"> and reflection is managed by the Co-ordinating Chaplin</w:t>
      </w:r>
      <w:r w:rsidR="00C15549">
        <w:t>. All prayer rooms are multi faith</w:t>
      </w:r>
      <w:r w:rsidR="00634DDF">
        <w:t xml:space="preserve"> and are governed by a Prayer Room Protocol,</w:t>
      </w:r>
    </w:p>
    <w:p w14:paraId="6628B4BE" w14:textId="2F83BBC0" w:rsidR="00BB3FBB" w:rsidRDefault="00496685" w:rsidP="00AB773D">
      <w:pPr>
        <w:numPr>
          <w:ilvl w:val="0"/>
          <w:numId w:val="4"/>
        </w:numPr>
        <w:spacing w:after="0"/>
        <w:ind w:left="431" w:hanging="431"/>
        <w:outlineLvl w:val="0"/>
      </w:pPr>
      <w:bookmarkStart w:id="41" w:name="_Toc211587878"/>
      <w:r>
        <w:rPr>
          <w:rFonts w:ascii="Altis Book" w:hAnsi="Altis Book"/>
          <w:color w:val="415464"/>
          <w:sz w:val="28"/>
        </w:rPr>
        <w:t>P</w:t>
      </w:r>
      <w:r w:rsidR="00C8209B">
        <w:rPr>
          <w:rFonts w:ascii="Altis Book" w:hAnsi="Altis Book"/>
          <w:color w:val="415464"/>
          <w:sz w:val="28"/>
        </w:rPr>
        <w:t>revent Referrals</w:t>
      </w:r>
      <w:bookmarkEnd w:id="39"/>
      <w:bookmarkEnd w:id="41"/>
    </w:p>
    <w:p w14:paraId="39E07978" w14:textId="77777777" w:rsidR="00AB773D" w:rsidRPr="00091316" w:rsidRDefault="00AB773D" w:rsidP="00AB773D">
      <w:pPr>
        <w:spacing w:after="0"/>
        <w:ind w:left="431"/>
        <w:outlineLvl w:val="0"/>
      </w:pPr>
    </w:p>
    <w:p w14:paraId="45E1FBE2" w14:textId="2177E0B5" w:rsidR="00BB3FBB" w:rsidRPr="00EC4180" w:rsidRDefault="00BB3FBB">
      <w:pPr>
        <w:pStyle w:val="Heading2"/>
        <w:spacing w:before="0" w:after="240" w:line="240" w:lineRule="auto"/>
        <w:ind w:left="578" w:hanging="578"/>
      </w:pPr>
      <w:r w:rsidRPr="00DF7E91">
        <w:t xml:space="preserve">Any member of the University community who has a concern that a student may be at risk or abuse or exploitation should refer initially to Student Services through the Cause for Concern route.  Initial concerns that a staff member may be at risk should be referred to People Services.  </w:t>
      </w:r>
    </w:p>
    <w:p w14:paraId="3A6DC539" w14:textId="4CA69D15" w:rsidR="002B5FE8" w:rsidRDefault="002B5FE8" w:rsidP="002B5FE8">
      <w:pPr>
        <w:pStyle w:val="Heading2"/>
        <w:spacing w:before="0" w:after="240" w:line="240" w:lineRule="auto"/>
        <w:ind w:left="578" w:hanging="578"/>
      </w:pPr>
      <w:r w:rsidRPr="00DF7E91">
        <w:t>If there is a direct threat of physical harm to an individual or an immediate concern regarding a person’s physical wellbeing, the correct response is to call 999 and in</w:t>
      </w:r>
      <w:r w:rsidR="00442EE0">
        <w:t>form the Prevent Co-ordinator that such action has been taken.</w:t>
      </w:r>
    </w:p>
    <w:p w14:paraId="1868CCF7" w14:textId="02CDB8C7" w:rsidR="00DE6588" w:rsidRDefault="000901DF" w:rsidP="000901DF">
      <w:pPr>
        <w:pStyle w:val="Heading2"/>
        <w:spacing w:before="0" w:after="240" w:line="240" w:lineRule="auto"/>
        <w:ind w:left="578" w:hanging="578"/>
      </w:pPr>
      <w:r w:rsidRPr="00DF7E91">
        <w:t xml:space="preserve">In situations where there is evidence that a person is at risk of being drawn into violent extremism, the Prevent Co-ordinator </w:t>
      </w:r>
      <w:r w:rsidR="00F963C9">
        <w:t>must</w:t>
      </w:r>
      <w:r w:rsidRPr="00DF7E91">
        <w:t xml:space="preserve"> be contacted.  The Prevent Co-ordinator may consult with statutory authorities on an anonymised basis to seek advice.</w:t>
      </w:r>
      <w:r w:rsidR="00125603">
        <w:t xml:space="preserve"> A</w:t>
      </w:r>
      <w:r w:rsidR="004157B5">
        <w:t xml:space="preserve"> </w:t>
      </w:r>
      <w:r w:rsidRPr="00DF7E91">
        <w:t xml:space="preserve">University case conference </w:t>
      </w:r>
      <w:r w:rsidR="00125603">
        <w:t xml:space="preserve">will usually be called </w:t>
      </w:r>
      <w:r w:rsidRPr="00DF7E91">
        <w:t xml:space="preserve">to gather as much information as possible and undertake a risk analysis and will seek to reach an agreement on whether further internal interventions should be put in place or whether the risks are sufficiently high to necessitate an external referral into the Channel process.  </w:t>
      </w:r>
    </w:p>
    <w:p w14:paraId="2839E0B9" w14:textId="1477143C" w:rsidR="000901DF" w:rsidRPr="008E427D" w:rsidRDefault="000901DF">
      <w:pPr>
        <w:pStyle w:val="Heading2"/>
        <w:spacing w:before="0" w:after="240" w:line="240" w:lineRule="auto"/>
        <w:ind w:left="578" w:hanging="578"/>
      </w:pPr>
      <w:r w:rsidRPr="00DF7E91">
        <w:lastRenderedPageBreak/>
        <w:t xml:space="preserve">For student cases, </w:t>
      </w:r>
      <w:r w:rsidR="000A3262">
        <w:t>a</w:t>
      </w:r>
      <w:r w:rsidRPr="00DF7E91">
        <w:t xml:space="preserve"> </w:t>
      </w:r>
      <w:r w:rsidR="004157B5">
        <w:t>Risk Action Panel may be con</w:t>
      </w:r>
      <w:r w:rsidR="00D6723A">
        <w:t xml:space="preserve">vened that </w:t>
      </w:r>
      <w:r w:rsidRPr="00DF7E91">
        <w:t xml:space="preserve">would normally comprise individuals known to the student, e.g. a representative from their Academic School, and representatives from Student Services such as the </w:t>
      </w:r>
      <w:r w:rsidR="00DE6588">
        <w:t>Chief Student Office</w:t>
      </w:r>
      <w:r w:rsidRPr="00DF7E91">
        <w:t>, Head of the Wellbeing Service and/or the</w:t>
      </w:r>
      <w:r w:rsidR="00DE6588">
        <w:t xml:space="preserve"> </w:t>
      </w:r>
      <w:r w:rsidRPr="00DF7E91">
        <w:t>Co-ordinating Chaplain, as appropriate.</w:t>
      </w:r>
      <w:r>
        <w:t xml:space="preserve"> It would be normal practice to seek the individual’s input into the process unless the view is taken that to do so may increase the risk of potential harm. This assessment will be made on a case-by-case basis.</w:t>
      </w:r>
    </w:p>
    <w:p w14:paraId="09F6612F" w14:textId="13C0363D" w:rsidR="00240A38" w:rsidRPr="00634DDF" w:rsidRDefault="008E1EF2" w:rsidP="00D74743">
      <w:pPr>
        <w:numPr>
          <w:ilvl w:val="1"/>
          <w:numId w:val="4"/>
        </w:numPr>
        <w:spacing w:before="160" w:after="120"/>
        <w:ind w:left="578" w:hanging="578"/>
        <w:outlineLvl w:val="1"/>
      </w:pPr>
      <w:r>
        <w:t xml:space="preserve">It may be the case that a </w:t>
      </w:r>
      <w:r w:rsidR="00E55577">
        <w:t xml:space="preserve">Prevent </w:t>
      </w:r>
      <w:r w:rsidR="00D75719">
        <w:t xml:space="preserve">referral </w:t>
      </w:r>
      <w:r w:rsidR="009C0279">
        <w:t xml:space="preserve">is made to </w:t>
      </w:r>
      <w:r w:rsidR="00892842">
        <w:t xml:space="preserve">the </w:t>
      </w:r>
      <w:r w:rsidR="00271725">
        <w:t>Home Office and Counter Terrorism Polic</w:t>
      </w:r>
      <w:r w:rsidR="00892842">
        <w:t>ing Wales.</w:t>
      </w:r>
      <w:r w:rsidR="004171EC">
        <w:t xml:space="preserve"> Such a referral will be made via the</w:t>
      </w:r>
      <w:r w:rsidR="000B4793">
        <w:t xml:space="preserve"> </w:t>
      </w:r>
      <w:hyperlink r:id="rId22" w:history="1">
        <w:r w:rsidR="004910C9" w:rsidRPr="004910C9">
          <w:rPr>
            <w:color w:val="0000FF"/>
            <w:u w:val="single"/>
          </w:rPr>
          <w:t>All Wales Partners Prevent Referral Form</w:t>
        </w:r>
      </w:hyperlink>
      <w:r w:rsidR="0076455A">
        <w:t xml:space="preserve">. </w:t>
      </w:r>
      <w:r w:rsidR="00764B18">
        <w:t xml:space="preserve">It may be the case that the </w:t>
      </w:r>
      <w:r w:rsidR="00892842">
        <w:t xml:space="preserve">individual </w:t>
      </w:r>
      <w:r w:rsidR="00787BD7">
        <w:t xml:space="preserve">who is the </w:t>
      </w:r>
      <w:r w:rsidR="00764B18">
        <w:t>subject of the referral may be taken further under the Government’s Channel Pr</w:t>
      </w:r>
      <w:r w:rsidR="00787BD7">
        <w:t>ocess.</w:t>
      </w:r>
      <w:r w:rsidR="00764B18">
        <w:t xml:space="preserve">  </w:t>
      </w:r>
      <w:r w:rsidR="004B1ED7">
        <w:t xml:space="preserve">The University would </w:t>
      </w:r>
      <w:r w:rsidR="003F0B90">
        <w:t xml:space="preserve">cooperate as reasonably practicable </w:t>
      </w:r>
      <w:r w:rsidR="000A3275">
        <w:t xml:space="preserve">with the Channel </w:t>
      </w:r>
      <w:r w:rsidR="00240A38">
        <w:t xml:space="preserve">intervention </w:t>
      </w:r>
      <w:r w:rsidR="000A3275">
        <w:t>process for any individual ac</w:t>
      </w:r>
      <w:r w:rsidR="00787BD7">
        <w:t>ce</w:t>
      </w:r>
      <w:r w:rsidR="000A3275">
        <w:t xml:space="preserve">pted </w:t>
      </w:r>
      <w:r w:rsidR="00787BD7">
        <w:t>o</w:t>
      </w:r>
      <w:r w:rsidR="000A3275">
        <w:t>nto it</w:t>
      </w:r>
      <w:r w:rsidR="00892842">
        <w:t xml:space="preserve"> (See</w:t>
      </w:r>
      <w:r w:rsidR="006E21A5">
        <w:t xml:space="preserve"> paragraph 16</w:t>
      </w:r>
      <w:r w:rsidR="00240A38">
        <w:t xml:space="preserve"> </w:t>
      </w:r>
      <w:r w:rsidR="00892842">
        <w:t>below)</w:t>
      </w:r>
      <w:r w:rsidR="00240A38">
        <w:t>.</w:t>
      </w:r>
    </w:p>
    <w:p w14:paraId="092D004F" w14:textId="489D0758" w:rsidR="002A5B04" w:rsidRDefault="00E27D20" w:rsidP="00D74743">
      <w:pPr>
        <w:numPr>
          <w:ilvl w:val="0"/>
          <w:numId w:val="4"/>
        </w:numPr>
        <w:spacing w:before="240" w:after="0"/>
        <w:ind w:left="431" w:hanging="431"/>
        <w:outlineLvl w:val="0"/>
      </w:pPr>
      <w:bookmarkStart w:id="42" w:name="_Toc82757116"/>
      <w:bookmarkStart w:id="43" w:name="_Toc211587879"/>
      <w:r w:rsidRPr="00661609">
        <w:rPr>
          <w:rFonts w:ascii="Altis Book" w:hAnsi="Altis Book"/>
          <w:color w:val="415464"/>
          <w:sz w:val="28"/>
        </w:rPr>
        <w:t>Students’ Union and Societ</w:t>
      </w:r>
      <w:r w:rsidR="00D958B6" w:rsidRPr="00661609">
        <w:rPr>
          <w:rFonts w:ascii="Altis Book" w:hAnsi="Altis Book"/>
          <w:color w:val="415464"/>
          <w:sz w:val="28"/>
        </w:rPr>
        <w:t>ies</w:t>
      </w:r>
      <w:bookmarkEnd w:id="42"/>
      <w:bookmarkEnd w:id="43"/>
    </w:p>
    <w:p w14:paraId="29DC71C8" w14:textId="61637795" w:rsidR="00595EFB" w:rsidRDefault="002A5B04" w:rsidP="00D74743">
      <w:pPr>
        <w:pStyle w:val="Heading2"/>
      </w:pPr>
      <w:r w:rsidRPr="002A5B04">
        <w:t xml:space="preserve">The University works in close partnership with the Students’ Union both formally and informally on day to day matters as part our shared commitment to deliver a safe learning environment and excellent student experience. </w:t>
      </w:r>
      <w:r w:rsidR="002613CB">
        <w:t>This collaborati</w:t>
      </w:r>
      <w:r w:rsidR="008756B6">
        <w:t xml:space="preserve">on is </w:t>
      </w:r>
      <w:r w:rsidR="00595EFB">
        <w:t>particularly</w:t>
      </w:r>
      <w:r w:rsidR="008756B6">
        <w:t xml:space="preserve"> important for </w:t>
      </w:r>
      <w:r w:rsidR="00B5414D">
        <w:t xml:space="preserve">ensuring compliance with the </w:t>
      </w:r>
      <w:r w:rsidR="00595EFB">
        <w:t>Prevent</w:t>
      </w:r>
      <w:r w:rsidR="00B5414D">
        <w:t xml:space="preserve"> Duty. </w:t>
      </w:r>
      <w:r w:rsidR="00323B6A">
        <w:t>The University consults with the Students’ Union on the development of the Prevent Policy and for overall implementation of the Prevent Duty.</w:t>
      </w:r>
      <w:r w:rsidR="00636654">
        <w:t xml:space="preserve"> </w:t>
      </w:r>
      <w:r w:rsidR="00AB1BB2">
        <w:t>The Chief Executive of the Students’ Union is a member of the Prevent Duty Co-ordination Group.</w:t>
      </w:r>
    </w:p>
    <w:p w14:paraId="12C2D8C0" w14:textId="3FEF8AB0" w:rsidR="00636654" w:rsidRDefault="002B7249" w:rsidP="00636654">
      <w:pPr>
        <w:pStyle w:val="Heading2"/>
      </w:pPr>
      <w:r>
        <w:t>As a charitable body and registered with the Charity Commission</w:t>
      </w:r>
      <w:r w:rsidR="005733CF">
        <w:t xml:space="preserve"> the Students’ Union should follow </w:t>
      </w:r>
      <w:r w:rsidR="00DE6350">
        <w:t xml:space="preserve">the Guidance </w:t>
      </w:r>
      <w:r w:rsidR="00B60299">
        <w:t xml:space="preserve">in </w:t>
      </w:r>
      <w:hyperlink r:id="rId23" w:history="1">
        <w:r w:rsidR="00DE2527" w:rsidRPr="00DE2527">
          <w:rPr>
            <w:rFonts w:eastAsiaTheme="minorHAnsi" w:cstheme="minorBidi"/>
            <w:color w:val="0000FF"/>
            <w:szCs w:val="22"/>
            <w:u w:val="single"/>
          </w:rPr>
          <w:t>Chapter 5: Protecting charities from abuse for extremist purposes - GOV.UK</w:t>
        </w:r>
      </w:hyperlink>
      <w:r w:rsidR="00DE2527">
        <w:rPr>
          <w:rFonts w:eastAsiaTheme="minorHAnsi" w:cstheme="minorBidi"/>
          <w:szCs w:val="22"/>
        </w:rPr>
        <w:t>.</w:t>
      </w:r>
    </w:p>
    <w:p w14:paraId="0EF1BA40" w14:textId="305F6275" w:rsidR="002A3414" w:rsidRPr="00267AEC" w:rsidRDefault="006D7EC9">
      <w:pPr>
        <w:pStyle w:val="Heading2"/>
        <w:spacing w:before="0" w:after="240" w:line="240" w:lineRule="auto"/>
      </w:pPr>
      <w:r w:rsidRPr="00267AEC">
        <w:rPr>
          <w:rFonts w:eastAsia="Times New Roman" w:cs="Arial"/>
          <w:color w:val="071320"/>
        </w:rPr>
        <w:t xml:space="preserve">In accordance with the </w:t>
      </w:r>
      <w:r w:rsidR="00AA1EEA">
        <w:rPr>
          <w:rFonts w:eastAsia="Times New Roman" w:cs="Arial"/>
          <w:color w:val="071320"/>
        </w:rPr>
        <w:t xml:space="preserve">University’s </w:t>
      </w:r>
      <w:r w:rsidRPr="00267AEC">
        <w:rPr>
          <w:rFonts w:eastAsia="Times New Roman" w:cs="Arial"/>
          <w:color w:val="071320"/>
        </w:rPr>
        <w:t xml:space="preserve">Code of Practice on Freedom of Speech, if a Students’ Union Society wishes to hold an event </w:t>
      </w:r>
      <w:r w:rsidR="00C86369">
        <w:rPr>
          <w:rFonts w:eastAsia="Times New Roman" w:cs="Arial"/>
          <w:color w:val="071320"/>
        </w:rPr>
        <w:t xml:space="preserve">and / </w:t>
      </w:r>
      <w:r w:rsidR="00AA1EEA">
        <w:rPr>
          <w:rFonts w:eastAsia="Times New Roman" w:cs="Arial"/>
          <w:color w:val="071320"/>
        </w:rPr>
        <w:t xml:space="preserve">or host a </w:t>
      </w:r>
      <w:r w:rsidRPr="00267AEC">
        <w:rPr>
          <w:rFonts w:eastAsia="Times New Roman" w:cs="Arial"/>
          <w:color w:val="071320"/>
        </w:rPr>
        <w:t>guest speaker that covers</w:t>
      </w:r>
      <w:r w:rsidR="00267AEC">
        <w:rPr>
          <w:rFonts w:eastAsia="Times New Roman" w:cs="Arial"/>
          <w:color w:val="071320"/>
        </w:rPr>
        <w:t xml:space="preserve"> a </w:t>
      </w:r>
      <w:r w:rsidR="00E7139C">
        <w:rPr>
          <w:rFonts w:eastAsia="Times New Roman" w:cs="Arial"/>
          <w:color w:val="071320"/>
        </w:rPr>
        <w:t xml:space="preserve">religious, spiritual, philosophical or political topic </w:t>
      </w:r>
      <w:r w:rsidRPr="00267AEC">
        <w:rPr>
          <w:rFonts w:eastAsia="Times New Roman" w:cs="Arial"/>
          <w:color w:val="071320"/>
        </w:rPr>
        <w:t>it is expected that they will follow the approval process for the event / guest speaker as set out in the Code.</w:t>
      </w:r>
    </w:p>
    <w:p w14:paraId="40430CFB" w14:textId="2600A763" w:rsidR="008509B7" w:rsidRPr="00091316" w:rsidRDefault="009417FA" w:rsidP="00D74743">
      <w:pPr>
        <w:numPr>
          <w:ilvl w:val="0"/>
          <w:numId w:val="4"/>
        </w:numPr>
        <w:spacing w:after="0"/>
        <w:ind w:left="431" w:hanging="431"/>
        <w:outlineLvl w:val="0"/>
      </w:pPr>
      <w:bookmarkStart w:id="44" w:name="_Toc82757119"/>
      <w:bookmarkStart w:id="45" w:name="_Toc211587882"/>
      <w:r w:rsidRPr="00661609">
        <w:rPr>
          <w:rFonts w:ascii="Altis Book" w:hAnsi="Altis Book"/>
          <w:color w:val="415464"/>
          <w:sz w:val="28"/>
        </w:rPr>
        <w:t>Staff Training</w:t>
      </w:r>
      <w:bookmarkEnd w:id="44"/>
      <w:bookmarkEnd w:id="45"/>
      <w:r w:rsidRPr="00661609">
        <w:rPr>
          <w:rFonts w:ascii="Altis Book" w:hAnsi="Altis Book"/>
          <w:color w:val="415464"/>
          <w:sz w:val="28"/>
        </w:rPr>
        <w:t xml:space="preserve"> </w:t>
      </w:r>
    </w:p>
    <w:p w14:paraId="5C909127" w14:textId="71AC3FBD" w:rsidR="000F6956" w:rsidRPr="00DB630D" w:rsidRDefault="008509B7" w:rsidP="00D74743">
      <w:pPr>
        <w:numPr>
          <w:ilvl w:val="1"/>
          <w:numId w:val="4"/>
        </w:numPr>
        <w:spacing w:before="160" w:after="120"/>
        <w:ind w:left="578" w:hanging="578"/>
        <w:outlineLvl w:val="1"/>
      </w:pPr>
      <w:r w:rsidRPr="008509B7">
        <w:rPr>
          <w:rFonts w:eastAsiaTheme="majorEastAsia" w:cstheme="majorBidi"/>
          <w:szCs w:val="26"/>
        </w:rPr>
        <w:t xml:space="preserve">The </w:t>
      </w:r>
      <w:r w:rsidR="00796819">
        <w:rPr>
          <w:rFonts w:eastAsiaTheme="majorEastAsia" w:cstheme="majorBidi"/>
          <w:szCs w:val="26"/>
        </w:rPr>
        <w:t xml:space="preserve">delivery of staff training is </w:t>
      </w:r>
      <w:r w:rsidR="006E7235">
        <w:rPr>
          <w:rFonts w:eastAsiaTheme="majorEastAsia" w:cstheme="majorBidi"/>
          <w:szCs w:val="26"/>
        </w:rPr>
        <w:t>a key part of the Prevent Duty</w:t>
      </w:r>
      <w:r w:rsidR="00C0060C">
        <w:rPr>
          <w:rFonts w:eastAsiaTheme="majorEastAsia" w:cstheme="majorBidi"/>
          <w:szCs w:val="26"/>
        </w:rPr>
        <w:t xml:space="preserve">. It is important that relevant staff members </w:t>
      </w:r>
      <w:r w:rsidR="00576FA3">
        <w:rPr>
          <w:rFonts w:eastAsiaTheme="majorEastAsia" w:cstheme="majorBidi"/>
          <w:szCs w:val="26"/>
        </w:rPr>
        <w:t xml:space="preserve">have an awareness of </w:t>
      </w:r>
      <w:r w:rsidR="003C291D">
        <w:rPr>
          <w:rFonts w:eastAsiaTheme="majorEastAsia" w:cstheme="majorBidi"/>
          <w:szCs w:val="26"/>
        </w:rPr>
        <w:t xml:space="preserve">Prevent and </w:t>
      </w:r>
      <w:r w:rsidR="00C0060C">
        <w:rPr>
          <w:rFonts w:eastAsiaTheme="majorEastAsia" w:cstheme="majorBidi"/>
          <w:szCs w:val="26"/>
        </w:rPr>
        <w:t xml:space="preserve">can recognise </w:t>
      </w:r>
      <w:r w:rsidR="0076455A">
        <w:rPr>
          <w:rFonts w:eastAsiaTheme="majorEastAsia" w:cstheme="majorBidi"/>
          <w:szCs w:val="26"/>
        </w:rPr>
        <w:t>individuals</w:t>
      </w:r>
      <w:r w:rsidR="00595975">
        <w:rPr>
          <w:rFonts w:eastAsiaTheme="majorEastAsia" w:cstheme="majorBidi"/>
          <w:szCs w:val="26"/>
        </w:rPr>
        <w:t xml:space="preserve"> who are vulnerable and at risk of </w:t>
      </w:r>
      <w:r w:rsidR="00C2451C">
        <w:rPr>
          <w:rFonts w:eastAsiaTheme="majorEastAsia" w:cstheme="majorBidi"/>
          <w:szCs w:val="26"/>
        </w:rPr>
        <w:t>radicalisation</w:t>
      </w:r>
      <w:r w:rsidR="00DB630D">
        <w:rPr>
          <w:rFonts w:eastAsiaTheme="majorEastAsia" w:cstheme="majorBidi"/>
          <w:szCs w:val="26"/>
        </w:rPr>
        <w:t>.</w:t>
      </w:r>
    </w:p>
    <w:p w14:paraId="64185E28" w14:textId="445CEC98" w:rsidR="008C5B1F" w:rsidRDefault="00CE0386">
      <w:pPr>
        <w:pStyle w:val="Heading2"/>
        <w:spacing w:before="0" w:after="240" w:line="240" w:lineRule="auto"/>
      </w:pPr>
      <w:r w:rsidRPr="00DF7E91">
        <w:t xml:space="preserve">All new staff </w:t>
      </w:r>
      <w:r>
        <w:t xml:space="preserve">at the University </w:t>
      </w:r>
      <w:r w:rsidRPr="00DF7E91">
        <w:t xml:space="preserve">are expected to undertake an e-module on the Prevent Duty so that they know their personal responsibilities. </w:t>
      </w:r>
      <w:r w:rsidR="00E33220">
        <w:t xml:space="preserve">Written information on Prevent is also provided as part of the University’s induction programme, </w:t>
      </w:r>
      <w:r w:rsidR="00875759">
        <w:t xml:space="preserve">Further training can be made available to </w:t>
      </w:r>
      <w:r w:rsidR="00875759" w:rsidRPr="00875759">
        <w:t>student-facing staff, which will involve briefing on the current terrorist threat and risks pertinent to the University’s population.</w:t>
      </w:r>
      <w:r w:rsidR="005A3EFE">
        <w:t xml:space="preserve"> </w:t>
      </w:r>
    </w:p>
    <w:p w14:paraId="48CAE02E" w14:textId="3BED659A" w:rsidR="00875759" w:rsidRDefault="005A3EFE" w:rsidP="00875759">
      <w:pPr>
        <w:pStyle w:val="Heading2"/>
        <w:spacing w:before="0" w:after="240" w:line="240" w:lineRule="auto"/>
      </w:pPr>
      <w:r>
        <w:lastRenderedPageBreak/>
        <w:t xml:space="preserve">All staff training </w:t>
      </w:r>
      <w:r w:rsidR="0054008C">
        <w:t>is developed in line with published sector guidance</w:t>
      </w:r>
      <w:r w:rsidR="00282832">
        <w:t xml:space="preserve">, </w:t>
      </w:r>
      <w:r w:rsidR="001152A0">
        <w:t xml:space="preserve">and </w:t>
      </w:r>
      <w:r w:rsidR="00282832">
        <w:t>covers:</w:t>
      </w:r>
    </w:p>
    <w:p w14:paraId="17CC16F5" w14:textId="407895EE" w:rsidR="001152A0" w:rsidRDefault="00C35FF4" w:rsidP="00665451">
      <w:pPr>
        <w:pStyle w:val="Heading2"/>
        <w:numPr>
          <w:ilvl w:val="2"/>
          <w:numId w:val="43"/>
        </w:numPr>
        <w:spacing w:before="0" w:after="240" w:line="240" w:lineRule="auto"/>
      </w:pPr>
      <w:r>
        <w:t>An understanding of the factors that make people support terrorist ideologies</w:t>
      </w:r>
      <w:r w:rsidR="00DA7EE1">
        <w:t xml:space="preserve"> or engage in terrorist related activity</w:t>
      </w:r>
      <w:r w:rsidR="00665451">
        <w:t>,</w:t>
      </w:r>
    </w:p>
    <w:p w14:paraId="0C1C01A2" w14:textId="26519608" w:rsidR="00DA7EE1" w:rsidRDefault="00554395" w:rsidP="00665451">
      <w:pPr>
        <w:pStyle w:val="Heading2"/>
        <w:numPr>
          <w:ilvl w:val="2"/>
          <w:numId w:val="43"/>
        </w:numPr>
        <w:spacing w:before="0" w:after="240" w:line="240" w:lineRule="auto"/>
      </w:pPr>
      <w:r>
        <w:t xml:space="preserve">Recognising vulnerability to being drawn into </w:t>
      </w:r>
      <w:r w:rsidR="00665451">
        <w:t>terrorism</w:t>
      </w:r>
      <w:r>
        <w:t>, and awareness of what action to take</w:t>
      </w:r>
      <w:r w:rsidR="00665451">
        <w:t>.</w:t>
      </w:r>
    </w:p>
    <w:p w14:paraId="711282E8" w14:textId="3693F1B4" w:rsidR="00282832" w:rsidRPr="00875759" w:rsidRDefault="00665451" w:rsidP="00665451">
      <w:pPr>
        <w:pStyle w:val="Heading2"/>
        <w:numPr>
          <w:ilvl w:val="2"/>
          <w:numId w:val="43"/>
        </w:numPr>
        <w:spacing w:before="0" w:after="240" w:line="240" w:lineRule="auto"/>
      </w:pPr>
      <w:r>
        <w:t>Awareness of the relevant procedures within the university to make a Prevent referral.</w:t>
      </w:r>
    </w:p>
    <w:p w14:paraId="7553E4CC" w14:textId="461063BA" w:rsidR="00AA206D" w:rsidRDefault="00A75C38" w:rsidP="002A3414">
      <w:pPr>
        <w:pStyle w:val="Heading2"/>
        <w:spacing w:before="0" w:after="240" w:line="240" w:lineRule="auto"/>
      </w:pPr>
      <w:r>
        <w:t>Records of training delivered</w:t>
      </w:r>
      <w:r w:rsidR="00AA79D7">
        <w:t xml:space="preserve"> to staff are maintained by the Prevent Coordinator, and f</w:t>
      </w:r>
      <w:r w:rsidR="00AA206D">
        <w:t xml:space="preserve">urther information and guidance on Prevent is available to staff via the internal staff Insite page </w:t>
      </w:r>
      <w:hyperlink r:id="rId24" w:history="1">
        <w:r w:rsidR="00AA206D" w:rsidRPr="00AA206D">
          <w:rPr>
            <w:rFonts w:eastAsiaTheme="minorHAnsi" w:cstheme="minorBidi"/>
            <w:color w:val="0000FF"/>
            <w:szCs w:val="22"/>
            <w:u w:val="single"/>
          </w:rPr>
          <w:t>Prevent Duty</w:t>
        </w:r>
      </w:hyperlink>
      <w:r w:rsidR="006B3ABB">
        <w:rPr>
          <w:rFonts w:eastAsiaTheme="minorHAnsi" w:cstheme="minorBidi"/>
          <w:szCs w:val="22"/>
        </w:rPr>
        <w:t>.</w:t>
      </w:r>
    </w:p>
    <w:p w14:paraId="1F34B77C" w14:textId="1D5F8B61" w:rsidR="002A3414" w:rsidRPr="00253AC1" w:rsidRDefault="00876607">
      <w:pPr>
        <w:pStyle w:val="Heading2"/>
        <w:spacing w:before="0" w:after="240" w:line="240" w:lineRule="auto"/>
      </w:pPr>
      <w:r>
        <w:t xml:space="preserve">An annual briefing </w:t>
      </w:r>
      <w:r w:rsidRPr="00DF7E91">
        <w:t xml:space="preserve">on legal compliance with the </w:t>
      </w:r>
      <w:r>
        <w:t xml:space="preserve">Prevent </w:t>
      </w:r>
      <w:r w:rsidRPr="00DF7E91">
        <w:t>Duty and the University’s risk assessment will be provided for the senior management team and the Board of Governors</w:t>
      </w:r>
    </w:p>
    <w:p w14:paraId="08F925E4" w14:textId="45C8B854" w:rsidR="008509B7" w:rsidRPr="00091316" w:rsidRDefault="00C270F8" w:rsidP="00D74743">
      <w:pPr>
        <w:numPr>
          <w:ilvl w:val="0"/>
          <w:numId w:val="4"/>
        </w:numPr>
        <w:spacing w:after="0"/>
        <w:ind w:left="431" w:hanging="431"/>
        <w:outlineLvl w:val="0"/>
      </w:pPr>
      <w:bookmarkStart w:id="46" w:name="_Toc82757120"/>
      <w:bookmarkStart w:id="47" w:name="_Toc211587883"/>
      <w:bookmarkStart w:id="48" w:name="_Toc157413480"/>
      <w:bookmarkStart w:id="49" w:name="_Toc100660113"/>
      <w:r w:rsidRPr="00661609">
        <w:rPr>
          <w:rFonts w:ascii="Altis Book" w:hAnsi="Altis Book"/>
          <w:color w:val="415464"/>
          <w:sz w:val="28"/>
        </w:rPr>
        <w:t>Communications</w:t>
      </w:r>
      <w:bookmarkEnd w:id="46"/>
      <w:bookmarkEnd w:id="47"/>
      <w:r>
        <w:rPr>
          <w:rFonts w:ascii="Altis Book" w:hAnsi="Altis Book"/>
          <w:color w:val="415464"/>
          <w:sz w:val="28"/>
        </w:rPr>
        <w:t xml:space="preserve"> </w:t>
      </w:r>
      <w:bookmarkEnd w:id="48"/>
      <w:bookmarkEnd w:id="49"/>
    </w:p>
    <w:p w14:paraId="2746675C" w14:textId="76B0D66A" w:rsidR="008509B7" w:rsidRPr="00091316" w:rsidRDefault="0042233B" w:rsidP="00D74743">
      <w:pPr>
        <w:numPr>
          <w:ilvl w:val="1"/>
          <w:numId w:val="4"/>
        </w:numPr>
        <w:spacing w:before="160" w:after="120"/>
        <w:ind w:left="578" w:hanging="578"/>
        <w:outlineLvl w:val="1"/>
      </w:pPr>
      <w:r>
        <w:rPr>
          <w:rFonts w:eastAsiaTheme="majorEastAsia" w:cstheme="majorBidi"/>
          <w:szCs w:val="26"/>
        </w:rPr>
        <w:t xml:space="preserve">The University </w:t>
      </w:r>
      <w:r w:rsidRPr="00DF7E91">
        <w:t xml:space="preserve">will not permit material supporting </w:t>
      </w:r>
      <w:r w:rsidR="004C045E">
        <w:t>terrorism t</w:t>
      </w:r>
      <w:r w:rsidRPr="00DF7E91">
        <w:t>o be displayed within</w:t>
      </w:r>
      <w:r w:rsidR="008F0B1F">
        <w:t xml:space="preserve"> </w:t>
      </w:r>
      <w:r w:rsidR="0079175D">
        <w:t>its</w:t>
      </w:r>
      <w:r w:rsidRPr="00DF7E91">
        <w:t xml:space="preserve"> premises, on the University’s website or in its communications.</w:t>
      </w:r>
      <w:r w:rsidR="00B00C20">
        <w:t xml:space="preserve"> The University Security Team </w:t>
      </w:r>
      <w:r w:rsidRPr="00DF7E91">
        <w:t xml:space="preserve">will investigate immediately if any </w:t>
      </w:r>
      <w:r w:rsidR="0079175D">
        <w:t xml:space="preserve">such material </w:t>
      </w:r>
      <w:r w:rsidRPr="00DF7E91">
        <w:t xml:space="preserve">is found. It is, however, acknowledged that there </w:t>
      </w:r>
      <w:r w:rsidR="0079175D">
        <w:t>may</w:t>
      </w:r>
      <w:r w:rsidRPr="00DF7E91">
        <w:t xml:space="preserve"> be legitimate reasons to display materials relating to terrorism or violent extremism as part of legitimate teaching and research activities</w:t>
      </w:r>
      <w:r>
        <w:t>.</w:t>
      </w:r>
    </w:p>
    <w:p w14:paraId="49560207" w14:textId="16BC3ADA" w:rsidR="002A3414" w:rsidRPr="00091316" w:rsidRDefault="00F9082B" w:rsidP="00D74743">
      <w:pPr>
        <w:numPr>
          <w:ilvl w:val="0"/>
          <w:numId w:val="4"/>
        </w:numPr>
        <w:spacing w:after="0"/>
        <w:ind w:left="431" w:hanging="431"/>
        <w:outlineLvl w:val="0"/>
      </w:pPr>
      <w:bookmarkStart w:id="50" w:name="_Toc82757121"/>
      <w:bookmarkStart w:id="51" w:name="_Toc211587884"/>
      <w:r w:rsidRPr="00661609">
        <w:rPr>
          <w:rFonts w:ascii="Altis Book" w:hAnsi="Altis Book"/>
          <w:color w:val="415464"/>
          <w:sz w:val="28"/>
        </w:rPr>
        <w:t>Security Sensitive Research</w:t>
      </w:r>
      <w:bookmarkEnd w:id="50"/>
      <w:bookmarkEnd w:id="51"/>
    </w:p>
    <w:p w14:paraId="3E04F39C" w14:textId="12AEC857" w:rsidR="00D45BE4" w:rsidRPr="00A62856" w:rsidRDefault="00C769B6" w:rsidP="00D74743">
      <w:pPr>
        <w:numPr>
          <w:ilvl w:val="1"/>
          <w:numId w:val="4"/>
        </w:numPr>
        <w:spacing w:before="160" w:after="120"/>
        <w:ind w:left="578" w:hanging="578"/>
        <w:outlineLvl w:val="1"/>
      </w:pPr>
      <w:r>
        <w:rPr>
          <w:rFonts w:eastAsiaTheme="majorEastAsia" w:cstheme="majorBidi"/>
          <w:szCs w:val="26"/>
        </w:rPr>
        <w:t xml:space="preserve">Academic members of </w:t>
      </w:r>
      <w:r w:rsidR="001074B0">
        <w:rPr>
          <w:rFonts w:eastAsiaTheme="majorEastAsia" w:cstheme="majorBidi"/>
          <w:szCs w:val="26"/>
        </w:rPr>
        <w:t xml:space="preserve">staff </w:t>
      </w:r>
      <w:r w:rsidR="000E4178">
        <w:rPr>
          <w:rFonts w:eastAsiaTheme="majorEastAsia" w:cstheme="majorBidi"/>
          <w:szCs w:val="26"/>
        </w:rPr>
        <w:t>who</w:t>
      </w:r>
      <w:r w:rsidR="001074B0">
        <w:rPr>
          <w:rFonts w:eastAsiaTheme="majorEastAsia" w:cstheme="majorBidi"/>
          <w:szCs w:val="26"/>
        </w:rPr>
        <w:t xml:space="preserve"> wish to undertake research into an </w:t>
      </w:r>
      <w:r w:rsidR="009B1B77">
        <w:rPr>
          <w:rFonts w:eastAsiaTheme="majorEastAsia" w:cstheme="majorBidi"/>
          <w:szCs w:val="26"/>
        </w:rPr>
        <w:t>extremism</w:t>
      </w:r>
      <w:r w:rsidR="001074B0">
        <w:rPr>
          <w:rFonts w:eastAsiaTheme="majorEastAsia" w:cstheme="majorBidi"/>
          <w:szCs w:val="26"/>
        </w:rPr>
        <w:t xml:space="preserve"> related f</w:t>
      </w:r>
      <w:r w:rsidR="000E4178">
        <w:rPr>
          <w:rFonts w:eastAsiaTheme="majorEastAsia" w:cstheme="majorBidi"/>
          <w:szCs w:val="26"/>
        </w:rPr>
        <w:t>ield</w:t>
      </w:r>
      <w:r w:rsidR="00EF002E">
        <w:rPr>
          <w:rFonts w:eastAsiaTheme="majorEastAsia" w:cstheme="majorBidi"/>
          <w:szCs w:val="26"/>
        </w:rPr>
        <w:t xml:space="preserve"> are required to go through the normal ethical review an</w:t>
      </w:r>
      <w:r w:rsidR="00CE285A">
        <w:rPr>
          <w:rFonts w:eastAsiaTheme="majorEastAsia" w:cstheme="majorBidi"/>
          <w:szCs w:val="26"/>
        </w:rPr>
        <w:t>d</w:t>
      </w:r>
      <w:r w:rsidR="00EF002E">
        <w:rPr>
          <w:rFonts w:eastAsiaTheme="majorEastAsia" w:cstheme="majorBidi"/>
          <w:szCs w:val="26"/>
        </w:rPr>
        <w:t xml:space="preserve"> approval process</w:t>
      </w:r>
      <w:r w:rsidR="00E544E7">
        <w:rPr>
          <w:rFonts w:eastAsiaTheme="majorEastAsia" w:cstheme="majorBidi"/>
          <w:szCs w:val="26"/>
        </w:rPr>
        <w:t>. This process will determine the potential risks to the University</w:t>
      </w:r>
      <w:r w:rsidR="001B600B">
        <w:rPr>
          <w:rFonts w:eastAsiaTheme="majorEastAsia" w:cstheme="majorBidi"/>
          <w:szCs w:val="26"/>
        </w:rPr>
        <w:t>, including (but not limited) to</w:t>
      </w:r>
      <w:r w:rsidR="00A62856">
        <w:rPr>
          <w:rFonts w:eastAsiaTheme="majorEastAsia" w:cstheme="majorBidi"/>
          <w:szCs w:val="26"/>
        </w:rPr>
        <w:t xml:space="preserve"> </w:t>
      </w:r>
      <w:r w:rsidR="00A62856" w:rsidRPr="00DF7E91">
        <w:t>the safety and wellbeing of the participants and researchers, and identify the necessary legal and ethical requirements</w:t>
      </w:r>
      <w:r w:rsidR="00A62856">
        <w:t>.</w:t>
      </w:r>
      <w:bookmarkStart w:id="52" w:name="_Toc157413482"/>
      <w:bookmarkStart w:id="53" w:name="_Toc100660115"/>
    </w:p>
    <w:p w14:paraId="7BEDA519" w14:textId="224AE067" w:rsidR="002A3414" w:rsidRPr="00D45BE4" w:rsidRDefault="00A62856" w:rsidP="00D74743">
      <w:pPr>
        <w:numPr>
          <w:ilvl w:val="0"/>
          <w:numId w:val="4"/>
        </w:numPr>
        <w:spacing w:after="0"/>
        <w:ind w:left="431" w:hanging="431"/>
        <w:outlineLvl w:val="0"/>
      </w:pPr>
      <w:bookmarkStart w:id="54" w:name="_Toc82757122"/>
      <w:bookmarkStart w:id="55" w:name="_Toc211587885"/>
      <w:r w:rsidRPr="00661609">
        <w:rPr>
          <w:rFonts w:ascii="Altis Book" w:hAnsi="Altis Book"/>
          <w:color w:val="415464"/>
          <w:sz w:val="28"/>
        </w:rPr>
        <w:t>Information Technology</w:t>
      </w:r>
      <w:bookmarkEnd w:id="54"/>
      <w:bookmarkEnd w:id="55"/>
    </w:p>
    <w:p w14:paraId="272A7C48" w14:textId="00D2B45F" w:rsidR="002A3414" w:rsidRDefault="00C80B0A">
      <w:pPr>
        <w:pStyle w:val="Heading2"/>
        <w:spacing w:before="0" w:after="240" w:line="240" w:lineRule="auto"/>
      </w:pPr>
      <w:r w:rsidRPr="00722EDA">
        <w:rPr>
          <w:rFonts w:cs="Arial"/>
          <w:color w:val="415464"/>
          <w:szCs w:val="24"/>
        </w:rPr>
        <w:t>The University</w:t>
      </w:r>
      <w:r>
        <w:rPr>
          <w:rFonts w:ascii="Altis Book" w:hAnsi="Altis Book"/>
          <w:color w:val="415464"/>
          <w:sz w:val="28"/>
        </w:rPr>
        <w:t xml:space="preserve"> </w:t>
      </w:r>
      <w:r w:rsidR="005F792B" w:rsidRPr="005F792B">
        <w:t>consider</w:t>
      </w:r>
      <w:r w:rsidR="005F792B">
        <w:t>s</w:t>
      </w:r>
      <w:r w:rsidR="005F792B" w:rsidRPr="005F792B">
        <w:t xml:space="preserve"> it unacceptable for </w:t>
      </w:r>
      <w:r>
        <w:t>its</w:t>
      </w:r>
      <w:r w:rsidR="005F792B" w:rsidRPr="005F792B">
        <w:t xml:space="preserve"> IT networks</w:t>
      </w:r>
      <w:r>
        <w:t xml:space="preserve"> or equipment etc. </w:t>
      </w:r>
      <w:r w:rsidR="005F792B" w:rsidRPr="005F792B">
        <w:t xml:space="preserve"> to be used in any way that supports, promotes or facilitates terrorism.</w:t>
      </w:r>
      <w:r w:rsidR="00FE6B6F">
        <w:t xml:space="preserve"> </w:t>
      </w:r>
      <w:r w:rsidR="00A56221">
        <w:t>R</w:t>
      </w:r>
      <w:r w:rsidR="005F792B" w:rsidRPr="005F792B">
        <w:t xml:space="preserve">eference </w:t>
      </w:r>
      <w:r w:rsidR="00A56221">
        <w:t xml:space="preserve">to </w:t>
      </w:r>
      <w:r w:rsidR="005F792B" w:rsidRPr="005F792B">
        <w:t xml:space="preserve">the Prevent Duty </w:t>
      </w:r>
      <w:r w:rsidR="00A56221">
        <w:t xml:space="preserve">is included in the IT Acceptable Use Policy. </w:t>
      </w:r>
      <w:r w:rsidR="00E63083">
        <w:t xml:space="preserve">It provides a process which must be followed </w:t>
      </w:r>
      <w:r w:rsidR="00471263">
        <w:t xml:space="preserve">prior to any individual accessing </w:t>
      </w:r>
      <w:r w:rsidR="002368BB">
        <w:t>extremist-</w:t>
      </w:r>
      <w:r w:rsidR="00291A5E">
        <w:t>related material</w:t>
      </w:r>
      <w:r w:rsidR="002368BB">
        <w:t xml:space="preserve"> for academic research </w:t>
      </w:r>
      <w:r w:rsidR="00C75A6A">
        <w:t>purposes. The</w:t>
      </w:r>
      <w:r w:rsidR="00D7363B">
        <w:t xml:space="preserve"> University </w:t>
      </w:r>
      <w:r w:rsidR="005F792B" w:rsidRPr="005F792B">
        <w:t xml:space="preserve">will keep under review the possible use of filters as a means of restricting access to content covered by the Prevent Duty as part of </w:t>
      </w:r>
      <w:r w:rsidR="00D7363B">
        <w:t xml:space="preserve">its </w:t>
      </w:r>
      <w:r w:rsidR="005F792B" w:rsidRPr="005F792B">
        <w:t>ongoing risk assessment process.</w:t>
      </w:r>
    </w:p>
    <w:p w14:paraId="0EFBA8BD" w14:textId="77777777" w:rsidR="00270FAC" w:rsidRDefault="00270FAC" w:rsidP="00270FAC">
      <w:pPr>
        <w:pStyle w:val="Heading2"/>
        <w:numPr>
          <w:ilvl w:val="0"/>
          <w:numId w:val="0"/>
        </w:numPr>
        <w:spacing w:before="0" w:after="240" w:line="240" w:lineRule="auto"/>
        <w:ind w:left="576"/>
        <w:rPr>
          <w:rFonts w:ascii="Altis Book" w:hAnsi="Altis Book"/>
          <w:color w:val="415464"/>
          <w:sz w:val="28"/>
        </w:rPr>
      </w:pPr>
    </w:p>
    <w:p w14:paraId="7706202D" w14:textId="77777777" w:rsidR="00270FAC" w:rsidRPr="002A3414" w:rsidRDefault="00270FAC" w:rsidP="00270FAC">
      <w:pPr>
        <w:pStyle w:val="Heading2"/>
        <w:numPr>
          <w:ilvl w:val="0"/>
          <w:numId w:val="0"/>
        </w:numPr>
        <w:spacing w:before="0" w:after="240" w:line="240" w:lineRule="auto"/>
        <w:ind w:left="576"/>
      </w:pPr>
    </w:p>
    <w:p w14:paraId="5CF8A4BC" w14:textId="6A1AD2F8" w:rsidR="002A3414" w:rsidRDefault="00610DD8" w:rsidP="00D74743">
      <w:pPr>
        <w:numPr>
          <w:ilvl w:val="0"/>
          <w:numId w:val="4"/>
        </w:numPr>
        <w:spacing w:after="0"/>
        <w:ind w:left="431" w:hanging="431"/>
        <w:outlineLvl w:val="0"/>
      </w:pPr>
      <w:bookmarkStart w:id="56" w:name="_Toc82757123"/>
      <w:bookmarkStart w:id="57" w:name="_Toc211587886"/>
      <w:r w:rsidRPr="00661609">
        <w:rPr>
          <w:rFonts w:ascii="Altis Book" w:hAnsi="Altis Book"/>
          <w:color w:val="415464"/>
          <w:sz w:val="28"/>
        </w:rPr>
        <w:lastRenderedPageBreak/>
        <w:t>Information Sharin</w:t>
      </w:r>
      <w:r w:rsidR="007377A4" w:rsidRPr="00661609">
        <w:rPr>
          <w:rFonts w:ascii="Altis Book" w:hAnsi="Altis Book"/>
          <w:color w:val="415464"/>
          <w:sz w:val="28"/>
        </w:rPr>
        <w:t>g</w:t>
      </w:r>
      <w:bookmarkEnd w:id="56"/>
      <w:bookmarkEnd w:id="57"/>
    </w:p>
    <w:p w14:paraId="1D58BABF" w14:textId="221C59D9" w:rsidR="002173E9" w:rsidRPr="007377A4" w:rsidRDefault="002173E9" w:rsidP="002173E9">
      <w:pPr>
        <w:spacing w:after="0"/>
        <w:ind w:left="431"/>
        <w:outlineLvl w:val="0"/>
      </w:pPr>
    </w:p>
    <w:p w14:paraId="7D760C80" w14:textId="1A004983" w:rsidR="00610DD8" w:rsidRPr="003F5570" w:rsidRDefault="007377A4" w:rsidP="00D74743">
      <w:pPr>
        <w:numPr>
          <w:ilvl w:val="1"/>
          <w:numId w:val="4"/>
        </w:numPr>
        <w:spacing w:after="240" w:line="240" w:lineRule="auto"/>
        <w:outlineLvl w:val="1"/>
      </w:pPr>
      <w:r>
        <w:rPr>
          <w:rFonts w:eastAsiaTheme="majorEastAsia" w:cstheme="majorBidi"/>
          <w:szCs w:val="26"/>
        </w:rPr>
        <w:t xml:space="preserve">As outlined in paragraph </w:t>
      </w:r>
      <w:r w:rsidR="00BE4F63">
        <w:rPr>
          <w:rFonts w:eastAsiaTheme="majorEastAsia" w:cstheme="majorBidi"/>
          <w:szCs w:val="26"/>
        </w:rPr>
        <w:t xml:space="preserve">10.5 </w:t>
      </w:r>
      <w:r w:rsidR="00D01C52">
        <w:rPr>
          <w:rFonts w:eastAsiaTheme="majorEastAsia" w:cstheme="majorBidi"/>
          <w:szCs w:val="26"/>
        </w:rPr>
        <w:t>above t</w:t>
      </w:r>
      <w:r w:rsidRPr="007377A4">
        <w:rPr>
          <w:rFonts w:eastAsiaTheme="majorEastAsia" w:cstheme="majorBidi"/>
          <w:szCs w:val="26"/>
        </w:rPr>
        <w:t>he University is aware of the Channel process</w:t>
      </w:r>
      <w:r w:rsidR="00D01C52">
        <w:rPr>
          <w:rFonts w:eastAsiaTheme="majorEastAsia" w:cstheme="majorBidi"/>
          <w:szCs w:val="26"/>
        </w:rPr>
        <w:t>,</w:t>
      </w:r>
      <w:r w:rsidRPr="007377A4">
        <w:rPr>
          <w:rFonts w:eastAsiaTheme="majorEastAsia" w:cstheme="majorBidi"/>
          <w:szCs w:val="26"/>
        </w:rPr>
        <w:t xml:space="preserve"> and o</w:t>
      </w:r>
      <w:r w:rsidR="00D01C52">
        <w:rPr>
          <w:rFonts w:eastAsiaTheme="majorEastAsia" w:cstheme="majorBidi"/>
          <w:szCs w:val="26"/>
        </w:rPr>
        <w:t xml:space="preserve">ther </w:t>
      </w:r>
      <w:r w:rsidRPr="007377A4">
        <w:rPr>
          <w:rFonts w:eastAsiaTheme="majorEastAsia" w:cstheme="majorBidi"/>
          <w:szCs w:val="26"/>
        </w:rPr>
        <w:t>opportunities for informal and formal sharing of information with relevant authorities</w:t>
      </w:r>
      <w:r w:rsidR="00D01C52">
        <w:rPr>
          <w:rFonts w:eastAsiaTheme="majorEastAsia" w:cstheme="majorBidi"/>
          <w:szCs w:val="26"/>
        </w:rPr>
        <w:t>, such as memberships of the local Prevent Partnership Board</w:t>
      </w:r>
      <w:r w:rsidRPr="007377A4">
        <w:rPr>
          <w:rFonts w:eastAsiaTheme="majorEastAsia" w:cstheme="majorBidi"/>
          <w:szCs w:val="26"/>
        </w:rPr>
        <w:t xml:space="preserve">. </w:t>
      </w:r>
      <w:r w:rsidR="00BA1219">
        <w:rPr>
          <w:rFonts w:eastAsiaTheme="majorEastAsia" w:cstheme="majorBidi"/>
          <w:szCs w:val="26"/>
        </w:rPr>
        <w:t xml:space="preserve">It will </w:t>
      </w:r>
      <w:r w:rsidRPr="007377A4">
        <w:rPr>
          <w:rFonts w:eastAsiaTheme="majorEastAsia" w:cstheme="majorBidi"/>
          <w:szCs w:val="26"/>
        </w:rPr>
        <w:t xml:space="preserve">use these </w:t>
      </w:r>
      <w:r w:rsidR="00BA1219">
        <w:rPr>
          <w:rFonts w:eastAsiaTheme="majorEastAsia" w:cstheme="majorBidi"/>
          <w:szCs w:val="26"/>
        </w:rPr>
        <w:t xml:space="preserve">opportunities </w:t>
      </w:r>
      <w:r w:rsidRPr="007377A4">
        <w:rPr>
          <w:rFonts w:eastAsiaTheme="majorEastAsia" w:cstheme="majorBidi"/>
          <w:szCs w:val="26"/>
        </w:rPr>
        <w:t xml:space="preserve">when it is </w:t>
      </w:r>
      <w:r w:rsidR="00BA1219">
        <w:rPr>
          <w:rFonts w:eastAsiaTheme="majorEastAsia" w:cstheme="majorBidi"/>
          <w:szCs w:val="26"/>
        </w:rPr>
        <w:t xml:space="preserve">considered </w:t>
      </w:r>
      <w:r w:rsidRPr="007377A4">
        <w:rPr>
          <w:rFonts w:eastAsiaTheme="majorEastAsia" w:cstheme="majorBidi"/>
          <w:szCs w:val="26"/>
        </w:rPr>
        <w:t xml:space="preserve">necessary and appropriate to do so in the interests of preventing people from being drawn into terrorism. Information sharing will only take place with external authorities when this is consistent with the provisions of the </w:t>
      </w:r>
      <w:r w:rsidR="00F225CE">
        <w:rPr>
          <w:rFonts w:eastAsiaTheme="majorEastAsia" w:cstheme="majorBidi"/>
          <w:szCs w:val="26"/>
        </w:rPr>
        <w:t>Data Protection</w:t>
      </w:r>
      <w:r w:rsidR="00894AAD">
        <w:rPr>
          <w:rFonts w:eastAsiaTheme="majorEastAsia" w:cstheme="majorBidi"/>
          <w:szCs w:val="26"/>
        </w:rPr>
        <w:t xml:space="preserve"> </w:t>
      </w:r>
      <w:r w:rsidR="00F225CE">
        <w:rPr>
          <w:rFonts w:eastAsiaTheme="majorEastAsia" w:cstheme="majorBidi"/>
          <w:szCs w:val="26"/>
        </w:rPr>
        <w:t xml:space="preserve">Act 2018 and </w:t>
      </w:r>
      <w:r w:rsidRPr="007377A4">
        <w:rPr>
          <w:rFonts w:eastAsiaTheme="majorEastAsia" w:cstheme="majorBidi"/>
          <w:szCs w:val="26"/>
        </w:rPr>
        <w:t xml:space="preserve">General Data Protection Regulation. </w:t>
      </w:r>
    </w:p>
    <w:p w14:paraId="6112A5E2" w14:textId="03DDAF98" w:rsidR="008509B7" w:rsidRPr="008B3DDA" w:rsidRDefault="00BF4057" w:rsidP="003860B9">
      <w:pPr>
        <w:numPr>
          <w:ilvl w:val="0"/>
          <w:numId w:val="4"/>
        </w:numPr>
        <w:spacing w:after="0"/>
        <w:ind w:left="431" w:hanging="431"/>
        <w:outlineLvl w:val="0"/>
      </w:pPr>
      <w:bookmarkStart w:id="58" w:name="_Toc211587888"/>
      <w:bookmarkEnd w:id="52"/>
      <w:bookmarkEnd w:id="53"/>
      <w:r>
        <w:rPr>
          <w:rFonts w:ascii="Altis Book" w:hAnsi="Altis Book"/>
          <w:color w:val="415464"/>
          <w:sz w:val="28"/>
        </w:rPr>
        <w:t xml:space="preserve">Monitoring and </w:t>
      </w:r>
      <w:r w:rsidR="00CA3F9F">
        <w:rPr>
          <w:rFonts w:ascii="Altis Book" w:hAnsi="Altis Book"/>
          <w:color w:val="415464"/>
          <w:sz w:val="28"/>
        </w:rPr>
        <w:t>Review</w:t>
      </w:r>
      <w:bookmarkEnd w:id="58"/>
    </w:p>
    <w:p w14:paraId="780F2C47" w14:textId="4271B761" w:rsidR="0050121E" w:rsidRDefault="003E0215" w:rsidP="008B3DDA">
      <w:pPr>
        <w:pStyle w:val="Heading2"/>
      </w:pPr>
      <w:r>
        <w:t xml:space="preserve">Medr is responsible for </w:t>
      </w:r>
      <w:r w:rsidR="003632FA">
        <w:t xml:space="preserve">monitoring of the University’s compliance </w:t>
      </w:r>
      <w:r w:rsidR="00170E17">
        <w:t>with the Prevent Guidance on behalf of the</w:t>
      </w:r>
      <w:r w:rsidR="00972F9A">
        <w:t xml:space="preserve"> Welsh Government. </w:t>
      </w:r>
    </w:p>
    <w:p w14:paraId="553F6DC0" w14:textId="603F0127" w:rsidR="005A4BC6" w:rsidRPr="008329EC" w:rsidRDefault="00FC0C30" w:rsidP="00FE6B6F">
      <w:pPr>
        <w:pStyle w:val="Heading2"/>
      </w:pPr>
      <w:r>
        <w:t xml:space="preserve">The </w:t>
      </w:r>
      <w:r w:rsidR="00974CC8">
        <w:t xml:space="preserve">University’s </w:t>
      </w:r>
      <w:r>
        <w:t>Board of Governo</w:t>
      </w:r>
      <w:r w:rsidR="00974CC8">
        <w:t xml:space="preserve">rs </w:t>
      </w:r>
      <w:r w:rsidR="00B10999">
        <w:t xml:space="preserve">is responsible for </w:t>
      </w:r>
      <w:r w:rsidR="00794547">
        <w:t>ensuring</w:t>
      </w:r>
      <w:r w:rsidR="00B10999">
        <w:t xml:space="preserve"> that the University</w:t>
      </w:r>
      <w:r w:rsidR="00794547">
        <w:t xml:space="preserve"> provides approp</w:t>
      </w:r>
      <w:r w:rsidR="0050121E">
        <w:t>ri</w:t>
      </w:r>
      <w:r w:rsidR="00794547">
        <w:t xml:space="preserve">ate </w:t>
      </w:r>
      <w:r w:rsidR="0050121E">
        <w:t xml:space="preserve">information to </w:t>
      </w:r>
      <w:proofErr w:type="spellStart"/>
      <w:r w:rsidR="00794547">
        <w:t>Medr</w:t>
      </w:r>
      <w:proofErr w:type="spellEnd"/>
      <w:r w:rsidR="0050121E">
        <w:t xml:space="preserve"> </w:t>
      </w:r>
      <w:r w:rsidR="006E0B60">
        <w:t xml:space="preserve">to evidence </w:t>
      </w:r>
      <w:r w:rsidR="0050121E">
        <w:t>its compliance with the Prevent Duty. The Chair of the Board</w:t>
      </w:r>
      <w:r w:rsidR="00CA3F9F">
        <w:t xml:space="preserve"> is res</w:t>
      </w:r>
      <w:r w:rsidR="006E0B60">
        <w:t xml:space="preserve">ponsible for </w:t>
      </w:r>
      <w:r w:rsidR="00DD072A">
        <w:t>confirming compliance on an annual basis.</w:t>
      </w:r>
    </w:p>
    <w:p w14:paraId="43970D76" w14:textId="699EAD22" w:rsidR="008329EC" w:rsidRPr="00091316" w:rsidRDefault="001A2308" w:rsidP="003860B9">
      <w:pPr>
        <w:numPr>
          <w:ilvl w:val="0"/>
          <w:numId w:val="4"/>
        </w:numPr>
        <w:spacing w:after="0"/>
        <w:ind w:left="431" w:hanging="431"/>
        <w:outlineLvl w:val="0"/>
      </w:pPr>
      <w:bookmarkStart w:id="59" w:name="_Toc211587889"/>
      <w:r>
        <w:rPr>
          <w:rFonts w:ascii="Altis Book" w:hAnsi="Altis Book"/>
          <w:color w:val="415464"/>
          <w:sz w:val="28"/>
        </w:rPr>
        <w:t>Related Policies and Procedures</w:t>
      </w:r>
      <w:bookmarkEnd w:id="59"/>
    </w:p>
    <w:p w14:paraId="3D2001BA" w14:textId="65EB3915" w:rsidR="008509B7" w:rsidRPr="00B84823" w:rsidRDefault="008509B7" w:rsidP="002173E9">
      <w:pPr>
        <w:numPr>
          <w:ilvl w:val="1"/>
          <w:numId w:val="4"/>
        </w:numPr>
        <w:spacing w:before="160" w:after="120"/>
        <w:ind w:left="578" w:hanging="578"/>
        <w:outlineLvl w:val="1"/>
      </w:pPr>
      <w:r w:rsidRPr="003860B9">
        <w:t>This Policy should be read in conjunction with the following related policies and procedures:</w:t>
      </w:r>
    </w:p>
    <w:p w14:paraId="0FEF218A" w14:textId="77777777" w:rsidR="008509B7" w:rsidRPr="002173E9" w:rsidRDefault="008509B7" w:rsidP="00950243">
      <w:pPr>
        <w:pStyle w:val="ListParagraph"/>
        <w:numPr>
          <w:ilvl w:val="2"/>
          <w:numId w:val="41"/>
        </w:numPr>
        <w:spacing w:before="40" w:after="0"/>
        <w:outlineLvl w:val="2"/>
      </w:pPr>
      <w:r w:rsidRPr="00950243">
        <w:rPr>
          <w:rFonts w:eastAsiaTheme="majorEastAsia" w:cstheme="majorBidi"/>
          <w:szCs w:val="24"/>
        </w:rPr>
        <w:t>Code of Practice on Freedom of Speech</w:t>
      </w:r>
    </w:p>
    <w:p w14:paraId="388F5B02" w14:textId="1B5D1B5D" w:rsidR="002173E9" w:rsidRPr="00736A8E" w:rsidRDefault="002173E9" w:rsidP="00950243">
      <w:pPr>
        <w:pStyle w:val="ListParagraph"/>
        <w:numPr>
          <w:ilvl w:val="2"/>
          <w:numId w:val="41"/>
        </w:numPr>
        <w:spacing w:before="40" w:after="0"/>
        <w:outlineLvl w:val="2"/>
      </w:pPr>
      <w:r w:rsidRPr="00950243">
        <w:rPr>
          <w:rFonts w:eastAsiaTheme="majorEastAsia" w:cstheme="majorBidi"/>
          <w:szCs w:val="24"/>
        </w:rPr>
        <w:t>Data Protection Policy</w:t>
      </w:r>
    </w:p>
    <w:p w14:paraId="2EEBA02C" w14:textId="77777777" w:rsidR="00736A8E" w:rsidRPr="00B84823" w:rsidRDefault="00736A8E" w:rsidP="00950243">
      <w:pPr>
        <w:pStyle w:val="ListParagraph"/>
        <w:numPr>
          <w:ilvl w:val="2"/>
          <w:numId w:val="41"/>
        </w:numPr>
        <w:spacing w:before="40" w:after="0"/>
        <w:outlineLvl w:val="2"/>
      </w:pPr>
      <w:r w:rsidRPr="00950243">
        <w:rPr>
          <w:rFonts w:eastAsiaTheme="majorEastAsia" w:cstheme="majorBidi"/>
          <w:szCs w:val="24"/>
        </w:rPr>
        <w:t>Research Misconduct Policy</w:t>
      </w:r>
    </w:p>
    <w:p w14:paraId="43490B03" w14:textId="77777777" w:rsidR="00736A8E" w:rsidRPr="00B84823" w:rsidRDefault="00736A8E" w:rsidP="00950243">
      <w:pPr>
        <w:pStyle w:val="ListParagraph"/>
        <w:numPr>
          <w:ilvl w:val="2"/>
          <w:numId w:val="41"/>
        </w:numPr>
        <w:spacing w:before="40" w:after="0"/>
        <w:outlineLvl w:val="2"/>
      </w:pPr>
      <w:r w:rsidRPr="00950243">
        <w:rPr>
          <w:rFonts w:eastAsiaTheme="majorEastAsia" w:cstheme="majorBidi"/>
          <w:szCs w:val="24"/>
        </w:rPr>
        <w:t>Staff Disciplinary Policy</w:t>
      </w:r>
    </w:p>
    <w:p w14:paraId="3ABAE4E3" w14:textId="09996388" w:rsidR="00736A8E" w:rsidRPr="00B84823" w:rsidRDefault="00736A8E" w:rsidP="00950243">
      <w:pPr>
        <w:pStyle w:val="ListParagraph"/>
        <w:numPr>
          <w:ilvl w:val="2"/>
          <w:numId w:val="41"/>
        </w:numPr>
        <w:spacing w:before="40" w:after="0"/>
        <w:outlineLvl w:val="2"/>
      </w:pPr>
      <w:r w:rsidRPr="00950243">
        <w:rPr>
          <w:rFonts w:eastAsiaTheme="majorEastAsia" w:cstheme="majorBidi"/>
          <w:szCs w:val="24"/>
        </w:rPr>
        <w:t>Student Disciplinary Procedure</w:t>
      </w:r>
    </w:p>
    <w:p w14:paraId="7B74DBA4" w14:textId="3E37330C" w:rsidR="00736A8E" w:rsidRPr="00736A8E" w:rsidRDefault="002173E9" w:rsidP="00950243">
      <w:pPr>
        <w:pStyle w:val="ListParagraph"/>
        <w:numPr>
          <w:ilvl w:val="2"/>
          <w:numId w:val="41"/>
        </w:numPr>
        <w:spacing w:before="40" w:after="0"/>
        <w:outlineLvl w:val="2"/>
      </w:pPr>
      <w:r w:rsidRPr="00950243">
        <w:rPr>
          <w:rFonts w:eastAsiaTheme="majorEastAsia" w:cstheme="majorBidi"/>
          <w:szCs w:val="24"/>
        </w:rPr>
        <w:t>Unacceptable Use of IT Policy</w:t>
      </w:r>
    </w:p>
    <w:p w14:paraId="7BA9DCAC" w14:textId="64ED2016" w:rsidR="00FE6B6F" w:rsidRPr="00091316" w:rsidRDefault="008509B7" w:rsidP="00F360A5">
      <w:pPr>
        <w:numPr>
          <w:ilvl w:val="1"/>
          <w:numId w:val="4"/>
        </w:numPr>
        <w:spacing w:before="160" w:after="120"/>
        <w:ind w:left="578" w:hanging="578"/>
        <w:outlineLvl w:val="1"/>
      </w:pPr>
      <w:r w:rsidRPr="008509B7">
        <w:rPr>
          <w:rFonts w:eastAsiaTheme="majorEastAsia" w:cstheme="majorBidi"/>
          <w:szCs w:val="26"/>
        </w:rPr>
        <w:t xml:space="preserve">Copies of all policies are available on the University’s </w:t>
      </w:r>
      <w:hyperlink r:id="rId25" w:history="1">
        <w:r w:rsidRPr="003860B9">
          <w:t>Policy Hub</w:t>
        </w:r>
      </w:hyperlink>
      <w:r w:rsidRPr="008509B7">
        <w:rPr>
          <w:rFonts w:eastAsiaTheme="majorEastAsia" w:cstheme="majorBidi"/>
          <w:szCs w:val="26"/>
        </w:rPr>
        <w:t>.</w:t>
      </w:r>
    </w:p>
    <w:p w14:paraId="135D0609" w14:textId="2CF012CB" w:rsidR="007B3308" w:rsidRPr="00D058E4" w:rsidRDefault="00D27696" w:rsidP="007B3308">
      <w:pPr>
        <w:numPr>
          <w:ilvl w:val="0"/>
          <w:numId w:val="4"/>
        </w:numPr>
        <w:spacing w:after="0"/>
        <w:ind w:left="431" w:hanging="431"/>
        <w:outlineLvl w:val="0"/>
      </w:pPr>
      <w:bookmarkStart w:id="60" w:name="_Toc211587890"/>
      <w:r>
        <w:rPr>
          <w:rFonts w:ascii="Altis Book" w:hAnsi="Altis Book"/>
          <w:color w:val="415464"/>
          <w:sz w:val="28"/>
        </w:rPr>
        <w:t>Further Information</w:t>
      </w:r>
      <w:bookmarkEnd w:id="60"/>
    </w:p>
    <w:p w14:paraId="04C96D7B" w14:textId="2452D436" w:rsidR="003224B6" w:rsidRDefault="0026560B" w:rsidP="0026560B">
      <w:pPr>
        <w:pStyle w:val="Heading2"/>
      </w:pPr>
      <w:r>
        <w:t xml:space="preserve">Further information </w:t>
      </w:r>
      <w:r w:rsidR="00CF2812">
        <w:t xml:space="preserve">and advice </w:t>
      </w:r>
      <w:r>
        <w:t xml:space="preserve">on Prevent is available </w:t>
      </w:r>
      <w:r w:rsidR="00CF2812">
        <w:t>fr</w:t>
      </w:r>
      <w:r w:rsidR="00D058E4">
        <w:t>o</w:t>
      </w:r>
      <w:r w:rsidR="00CF2812">
        <w:t>m different organ</w:t>
      </w:r>
      <w:r w:rsidR="003224B6">
        <w:t>isations and agencies</w:t>
      </w:r>
      <w:r w:rsidR="00D058E4">
        <w:t>:</w:t>
      </w:r>
    </w:p>
    <w:p w14:paraId="5EFF8636" w14:textId="31984082" w:rsidR="003224B6" w:rsidRDefault="008A3985" w:rsidP="00D058E4">
      <w:pPr>
        <w:pStyle w:val="Heading2"/>
        <w:numPr>
          <w:ilvl w:val="2"/>
          <w:numId w:val="42"/>
        </w:numPr>
        <w:rPr>
          <w:rFonts w:eastAsiaTheme="minorHAnsi" w:cstheme="minorBidi"/>
          <w:szCs w:val="22"/>
        </w:rPr>
      </w:pPr>
      <w:hyperlink r:id="rId26" w:history="1">
        <w:r w:rsidRPr="008A3985">
          <w:rPr>
            <w:rFonts w:eastAsiaTheme="minorHAnsi" w:cstheme="minorBidi"/>
            <w:color w:val="0000FF"/>
            <w:szCs w:val="22"/>
            <w:u w:val="single"/>
          </w:rPr>
          <w:t>ACT Early | Prevent radicalisation</w:t>
        </w:r>
      </w:hyperlink>
    </w:p>
    <w:p w14:paraId="713CF31D" w14:textId="35AFD1A0" w:rsidR="00D058E4" w:rsidRDefault="00D058E4" w:rsidP="00D058E4">
      <w:pPr>
        <w:pStyle w:val="Heading2"/>
        <w:numPr>
          <w:ilvl w:val="2"/>
          <w:numId w:val="42"/>
        </w:numPr>
        <w:rPr>
          <w:rFonts w:eastAsiaTheme="minorHAnsi" w:cstheme="minorBidi"/>
          <w:szCs w:val="22"/>
        </w:rPr>
      </w:pPr>
      <w:hyperlink r:id="rId27" w:history="1">
        <w:r w:rsidRPr="00D058E4">
          <w:rPr>
            <w:rFonts w:eastAsiaTheme="minorHAnsi" w:cstheme="minorBidi"/>
            <w:color w:val="0000FF"/>
            <w:szCs w:val="22"/>
            <w:u w:val="single"/>
          </w:rPr>
          <w:t>Prevent | Counter Terrorism Policing</w:t>
        </w:r>
      </w:hyperlink>
    </w:p>
    <w:p w14:paraId="1DCA6D15" w14:textId="4263AEB1" w:rsidR="00D058E4" w:rsidRDefault="00D058E4" w:rsidP="00D058E4">
      <w:pPr>
        <w:pStyle w:val="Heading2"/>
        <w:numPr>
          <w:ilvl w:val="2"/>
          <w:numId w:val="42"/>
        </w:numPr>
      </w:pPr>
      <w:hyperlink r:id="rId28" w:history="1">
        <w:r w:rsidRPr="00EC4226">
          <w:rPr>
            <w:rFonts w:eastAsiaTheme="minorHAnsi" w:cstheme="minorBidi"/>
            <w:color w:val="0000FF"/>
            <w:szCs w:val="22"/>
            <w:u w:val="single"/>
          </w:rPr>
          <w:t>Staying safe from terrorism | South Wales Police</w:t>
        </w:r>
      </w:hyperlink>
    </w:p>
    <w:p w14:paraId="341720FD" w14:textId="5028F72B" w:rsidR="003224B6" w:rsidRDefault="009757CF" w:rsidP="00D058E4">
      <w:pPr>
        <w:pStyle w:val="Heading2"/>
        <w:numPr>
          <w:ilvl w:val="2"/>
          <w:numId w:val="42"/>
        </w:numPr>
      </w:pPr>
      <w:r>
        <w:rPr>
          <w:rFonts w:eastAsiaTheme="minorHAnsi" w:cstheme="minorBidi"/>
          <w:szCs w:val="22"/>
        </w:rPr>
        <w:t>Welsh Government</w:t>
      </w:r>
      <w:r w:rsidR="00B34FCE">
        <w:rPr>
          <w:rFonts w:eastAsiaTheme="minorHAnsi" w:cstheme="minorBidi"/>
          <w:szCs w:val="22"/>
        </w:rPr>
        <w:t>:</w:t>
      </w:r>
      <w:r>
        <w:rPr>
          <w:rFonts w:eastAsiaTheme="minorHAnsi" w:cstheme="minorBidi"/>
          <w:szCs w:val="22"/>
        </w:rPr>
        <w:t xml:space="preserve"> </w:t>
      </w:r>
      <w:hyperlink r:id="rId29" w:history="1">
        <w:r w:rsidRPr="009757CF">
          <w:rPr>
            <w:rFonts w:eastAsiaTheme="minorHAnsi" w:cstheme="minorBidi"/>
            <w:color w:val="0000FF"/>
            <w:szCs w:val="22"/>
            <w:u w:val="single"/>
          </w:rPr>
          <w:t>Keeping safe online - Hwb</w:t>
        </w:r>
      </w:hyperlink>
    </w:p>
    <w:p w14:paraId="3C3337DA" w14:textId="7CAE9221" w:rsidR="00B34FCE" w:rsidRDefault="00B34FCE" w:rsidP="00D058E4">
      <w:pPr>
        <w:pStyle w:val="Heading2"/>
        <w:numPr>
          <w:ilvl w:val="2"/>
          <w:numId w:val="42"/>
        </w:numPr>
        <w:rPr>
          <w:rFonts w:eastAsiaTheme="minorHAnsi" w:cstheme="minorBidi"/>
          <w:szCs w:val="22"/>
        </w:rPr>
      </w:pPr>
      <w:r>
        <w:rPr>
          <w:rFonts w:eastAsiaTheme="minorHAnsi" w:cstheme="minorBidi"/>
          <w:szCs w:val="22"/>
        </w:rPr>
        <w:t xml:space="preserve">Home Office: </w:t>
      </w:r>
      <w:hyperlink r:id="rId30" w:history="1">
        <w:r w:rsidRPr="00B34FCE">
          <w:rPr>
            <w:rFonts w:eastAsiaTheme="minorHAnsi" w:cstheme="minorBidi"/>
            <w:color w:val="0000FF"/>
            <w:szCs w:val="22"/>
            <w:u w:val="single"/>
          </w:rPr>
          <w:t>Prevent duty training: Learn how to support people susceptible to radicalisation | Prevent duty training</w:t>
        </w:r>
      </w:hyperlink>
    </w:p>
    <w:p w14:paraId="365B73EB" w14:textId="1AAF5DB8" w:rsidR="00F67579" w:rsidRPr="008509B7" w:rsidRDefault="0075225C" w:rsidP="00FE6B6F">
      <w:pPr>
        <w:pStyle w:val="Heading2"/>
        <w:numPr>
          <w:ilvl w:val="2"/>
          <w:numId w:val="42"/>
        </w:numPr>
      </w:pPr>
      <w:hyperlink r:id="rId31" w:history="1">
        <w:r w:rsidRPr="0075225C">
          <w:rPr>
            <w:rFonts w:eastAsiaTheme="minorHAnsi" w:cstheme="minorBidi"/>
            <w:color w:val="0000FF"/>
            <w:szCs w:val="22"/>
            <w:u w:val="single"/>
          </w:rPr>
          <w:t>Prevent and Channel factsheet – 2024  – Home Office in the media</w:t>
        </w:r>
      </w:hyperlink>
    </w:p>
    <w:p w14:paraId="33DEA098" w14:textId="77777777" w:rsidR="008509B7" w:rsidRPr="00091316" w:rsidRDefault="008509B7" w:rsidP="00D74743">
      <w:pPr>
        <w:numPr>
          <w:ilvl w:val="0"/>
          <w:numId w:val="4"/>
        </w:numPr>
        <w:spacing w:before="240" w:after="0"/>
        <w:ind w:left="431" w:hanging="431"/>
        <w:outlineLvl w:val="0"/>
      </w:pPr>
      <w:bookmarkStart w:id="61" w:name="_Toc157413484"/>
      <w:bookmarkStart w:id="62" w:name="_Toc100660117"/>
      <w:bookmarkStart w:id="63" w:name="_Toc82757125"/>
      <w:bookmarkStart w:id="64" w:name="_Toc211587891"/>
      <w:r w:rsidRPr="00661609">
        <w:rPr>
          <w:rFonts w:ascii="Altis Book" w:hAnsi="Altis Book"/>
          <w:color w:val="415464"/>
          <w:sz w:val="28"/>
        </w:rPr>
        <w:lastRenderedPageBreak/>
        <w:t>Review and Approval</w:t>
      </w:r>
      <w:bookmarkEnd w:id="38"/>
      <w:bookmarkEnd w:id="61"/>
      <w:bookmarkEnd w:id="62"/>
      <w:bookmarkEnd w:id="63"/>
      <w:bookmarkEnd w:id="64"/>
    </w:p>
    <w:p w14:paraId="7EC3C3E7" w14:textId="764B8314" w:rsidR="008509B7" w:rsidRPr="008509B7" w:rsidRDefault="008509B7" w:rsidP="003860B9">
      <w:pPr>
        <w:numPr>
          <w:ilvl w:val="1"/>
          <w:numId w:val="4"/>
        </w:numPr>
        <w:spacing w:before="160" w:after="120"/>
        <w:ind w:left="578" w:hanging="578"/>
        <w:outlineLvl w:val="1"/>
      </w:pPr>
      <w:r w:rsidRPr="008509B7">
        <w:rPr>
          <w:rFonts w:eastAsiaTheme="majorEastAsia" w:cstheme="majorBidi"/>
          <w:szCs w:val="26"/>
        </w:rPr>
        <w:t>The</w:t>
      </w:r>
      <w:r w:rsidR="00091316">
        <w:rPr>
          <w:rFonts w:eastAsiaTheme="majorEastAsia" w:cstheme="majorBidi"/>
          <w:szCs w:val="26"/>
        </w:rPr>
        <w:t xml:space="preserve"> </w:t>
      </w:r>
      <w:r w:rsidR="003955FB">
        <w:rPr>
          <w:rFonts w:eastAsiaTheme="majorEastAsia" w:cstheme="majorBidi"/>
          <w:szCs w:val="26"/>
        </w:rPr>
        <w:t xml:space="preserve">Prevent Policy </w:t>
      </w:r>
      <w:r w:rsidR="00AF2B42">
        <w:rPr>
          <w:rFonts w:eastAsiaTheme="majorEastAsia" w:cstheme="majorBidi"/>
          <w:szCs w:val="26"/>
        </w:rPr>
        <w:t xml:space="preserve">is </w:t>
      </w:r>
      <w:r w:rsidR="003955FB">
        <w:rPr>
          <w:rFonts w:eastAsiaTheme="majorEastAsia" w:cstheme="majorBidi"/>
          <w:szCs w:val="26"/>
        </w:rPr>
        <w:t xml:space="preserve">checked on an annual basis to ensure it remains compliant with </w:t>
      </w:r>
      <w:r w:rsidR="00607979">
        <w:rPr>
          <w:rFonts w:eastAsiaTheme="majorEastAsia" w:cstheme="majorBidi"/>
          <w:szCs w:val="26"/>
        </w:rPr>
        <w:t xml:space="preserve">legislation and statutory guidance. A </w:t>
      </w:r>
      <w:r w:rsidR="00F66B16">
        <w:rPr>
          <w:rFonts w:eastAsiaTheme="majorEastAsia" w:cstheme="majorBidi"/>
          <w:szCs w:val="26"/>
        </w:rPr>
        <w:t xml:space="preserve">formal </w:t>
      </w:r>
      <w:r w:rsidR="00F51354">
        <w:rPr>
          <w:rFonts w:eastAsiaTheme="majorEastAsia" w:cstheme="majorBidi"/>
          <w:szCs w:val="26"/>
        </w:rPr>
        <w:t>revie</w:t>
      </w:r>
      <w:r w:rsidR="00F66B16">
        <w:rPr>
          <w:rFonts w:eastAsiaTheme="majorEastAsia" w:cstheme="majorBidi"/>
          <w:szCs w:val="26"/>
        </w:rPr>
        <w:t>w is completed every</w:t>
      </w:r>
      <w:r w:rsidR="00F51354">
        <w:rPr>
          <w:rFonts w:eastAsiaTheme="majorEastAsia" w:cstheme="majorBidi"/>
          <w:szCs w:val="26"/>
        </w:rPr>
        <w:t xml:space="preserve"> three years in line w</w:t>
      </w:r>
      <w:r w:rsidR="00995D40">
        <w:rPr>
          <w:rFonts w:eastAsiaTheme="majorEastAsia" w:cstheme="majorBidi"/>
          <w:szCs w:val="26"/>
        </w:rPr>
        <w:t>i</w:t>
      </w:r>
      <w:r w:rsidR="00F51354">
        <w:rPr>
          <w:rFonts w:eastAsiaTheme="majorEastAsia" w:cstheme="majorBidi"/>
          <w:szCs w:val="26"/>
        </w:rPr>
        <w:t xml:space="preserve">th the policy cycle. </w:t>
      </w:r>
    </w:p>
    <w:p w14:paraId="373F6935" w14:textId="290CC36F" w:rsidR="008509B7" w:rsidRPr="008509B7" w:rsidRDefault="008509B7" w:rsidP="00D74743">
      <w:pPr>
        <w:numPr>
          <w:ilvl w:val="1"/>
          <w:numId w:val="4"/>
        </w:numPr>
        <w:spacing w:before="160" w:after="120"/>
        <w:ind w:left="578" w:hanging="578"/>
        <w:outlineLvl w:val="1"/>
      </w:pPr>
      <w:r w:rsidRPr="008509B7">
        <w:rPr>
          <w:rFonts w:eastAsiaTheme="majorEastAsia" w:cstheme="majorBidi"/>
          <w:szCs w:val="26"/>
        </w:rPr>
        <w:t xml:space="preserve">The </w:t>
      </w:r>
      <w:r w:rsidR="003B2A89">
        <w:rPr>
          <w:rFonts w:eastAsiaTheme="majorEastAsia" w:cstheme="majorBidi"/>
          <w:szCs w:val="26"/>
        </w:rPr>
        <w:t>policy is approved by the Univer</w:t>
      </w:r>
      <w:r w:rsidR="003860B9">
        <w:rPr>
          <w:rFonts w:eastAsiaTheme="majorEastAsia" w:cstheme="majorBidi"/>
          <w:szCs w:val="26"/>
        </w:rPr>
        <w:t>si</w:t>
      </w:r>
      <w:r w:rsidR="003B2A89">
        <w:rPr>
          <w:rFonts w:eastAsiaTheme="majorEastAsia" w:cstheme="majorBidi"/>
          <w:szCs w:val="26"/>
        </w:rPr>
        <w:t xml:space="preserve">ty’s </w:t>
      </w:r>
      <w:r w:rsidR="00AF2B42">
        <w:rPr>
          <w:rFonts w:eastAsiaTheme="majorEastAsia" w:cstheme="majorBidi"/>
          <w:szCs w:val="26"/>
        </w:rPr>
        <w:t>Audit Committee</w:t>
      </w:r>
      <w:r w:rsidRPr="008509B7">
        <w:rPr>
          <w:rFonts w:eastAsiaTheme="majorEastAsia" w:cstheme="majorBidi"/>
          <w:szCs w:val="26"/>
        </w:rPr>
        <w:t>.</w:t>
      </w:r>
    </w:p>
    <w:p w14:paraId="3DEC5568" w14:textId="77777777" w:rsidR="008509B7" w:rsidRPr="008509B7" w:rsidRDefault="008509B7" w:rsidP="003860B9"/>
    <w:sectPr w:rsidR="008509B7" w:rsidRPr="008509B7" w:rsidSect="00D74743">
      <w:headerReference w:type="default" r:id="rId32"/>
      <w:footerReference w:type="default" r:id="rId33"/>
      <w:pgSz w:w="11906" w:h="16838"/>
      <w:pgMar w:top="1440" w:right="1440"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7DE21" w14:textId="77777777" w:rsidR="00795AD2" w:rsidRDefault="00795AD2" w:rsidP="003B0CD4">
      <w:pPr>
        <w:spacing w:after="0" w:line="240" w:lineRule="auto"/>
      </w:pPr>
      <w:r>
        <w:separator/>
      </w:r>
    </w:p>
  </w:endnote>
  <w:endnote w:type="continuationSeparator" w:id="0">
    <w:p w14:paraId="56140E5D" w14:textId="77777777" w:rsidR="00795AD2" w:rsidRDefault="00795AD2"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Trebuchet MS"/>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4419" w14:textId="77777777" w:rsidR="00795AD2" w:rsidRDefault="00795AD2" w:rsidP="003B0CD4">
      <w:pPr>
        <w:spacing w:after="0" w:line="240" w:lineRule="auto"/>
      </w:pPr>
      <w:r>
        <w:separator/>
      </w:r>
    </w:p>
  </w:footnote>
  <w:footnote w:type="continuationSeparator" w:id="0">
    <w:p w14:paraId="37A59FE6" w14:textId="77777777" w:rsidR="00795AD2" w:rsidRDefault="00795AD2" w:rsidP="003B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E860" w14:textId="77777777" w:rsidR="00331A1E" w:rsidRPr="003860B9" w:rsidRDefault="00331A1E" w:rsidP="00386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557B91"/>
    <w:multiLevelType w:val="hybridMultilevel"/>
    <w:tmpl w:val="5CE6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F278D0"/>
    <w:multiLevelType w:val="hybridMultilevel"/>
    <w:tmpl w:val="47CA91A8"/>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5" w15:restartNumberingAfterBreak="0">
    <w:nsid w:val="231B6BBA"/>
    <w:multiLevelType w:val="hybridMultilevel"/>
    <w:tmpl w:val="234EE50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25015AE1"/>
    <w:multiLevelType w:val="multilevel"/>
    <w:tmpl w:val="13503EEA"/>
    <w:lvl w:ilvl="0">
      <w:start w:val="1"/>
      <w:numFmt w:val="decimal"/>
      <w:lvlText w:val="%1"/>
      <w:lvlJc w:val="left"/>
      <w:pPr>
        <w:ind w:left="432" w:hanging="432"/>
      </w:pPr>
      <w:rPr>
        <w:rFonts w:asciiTheme="majorHAnsi" w:eastAsiaTheme="majorEastAsia" w:hAnsiTheme="majorHAnsi" w:cstheme="majorBidi"/>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2E4CA9"/>
    <w:multiLevelType w:val="hybridMultilevel"/>
    <w:tmpl w:val="7C92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D9475F"/>
    <w:multiLevelType w:val="multilevel"/>
    <w:tmpl w:val="13503EEA"/>
    <w:lvl w:ilvl="0">
      <w:start w:val="1"/>
      <w:numFmt w:val="decimal"/>
      <w:lvlText w:val="%1"/>
      <w:lvlJc w:val="left"/>
      <w:pPr>
        <w:ind w:left="432" w:hanging="432"/>
      </w:pPr>
      <w:rPr>
        <w:rFonts w:asciiTheme="majorHAnsi" w:eastAsiaTheme="majorEastAsia" w:hAnsiTheme="majorHAnsi" w:cstheme="majorBidi"/>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8C46358"/>
    <w:multiLevelType w:val="hybridMultilevel"/>
    <w:tmpl w:val="C00AC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BD175FA"/>
    <w:multiLevelType w:val="multilevel"/>
    <w:tmpl w:val="B5DEBB2A"/>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47266E"/>
    <w:multiLevelType w:val="hybridMultilevel"/>
    <w:tmpl w:val="1286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66AB6"/>
    <w:multiLevelType w:val="hybridMultilevel"/>
    <w:tmpl w:val="60B0A504"/>
    <w:lvl w:ilvl="0" w:tplc="86C01A90">
      <w:start w:val="1"/>
      <w:numFmt w:val="lowerRoman"/>
      <w:lvlText w:val="%1)"/>
      <w:lvlJc w:val="left"/>
      <w:pPr>
        <w:ind w:left="1296" w:hanging="72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6" w15:restartNumberingAfterBreak="0">
    <w:nsid w:val="4CFF1B28"/>
    <w:multiLevelType w:val="hybridMultilevel"/>
    <w:tmpl w:val="E1E0EFFA"/>
    <w:lvl w:ilvl="0" w:tplc="FFB0AF70">
      <w:start w:val="1"/>
      <w:numFmt w:val="bullet"/>
      <w:lvlText w:val=""/>
      <w:lvlJc w:val="left"/>
      <w:pPr>
        <w:ind w:left="720" w:hanging="360"/>
      </w:pPr>
      <w:rPr>
        <w:rFonts w:ascii="Symbol" w:hAnsi="Symbol"/>
      </w:rPr>
    </w:lvl>
    <w:lvl w:ilvl="1" w:tplc="E036F1FC">
      <w:start w:val="1"/>
      <w:numFmt w:val="bullet"/>
      <w:lvlText w:val=""/>
      <w:lvlJc w:val="left"/>
      <w:pPr>
        <w:ind w:left="720" w:hanging="360"/>
      </w:pPr>
      <w:rPr>
        <w:rFonts w:ascii="Symbol" w:hAnsi="Symbol"/>
      </w:rPr>
    </w:lvl>
    <w:lvl w:ilvl="2" w:tplc="FC7CE456">
      <w:start w:val="1"/>
      <w:numFmt w:val="bullet"/>
      <w:lvlText w:val=""/>
      <w:lvlJc w:val="left"/>
      <w:pPr>
        <w:ind w:left="720" w:hanging="360"/>
      </w:pPr>
      <w:rPr>
        <w:rFonts w:ascii="Symbol" w:hAnsi="Symbol"/>
      </w:rPr>
    </w:lvl>
    <w:lvl w:ilvl="3" w:tplc="7390FD4E">
      <w:start w:val="1"/>
      <w:numFmt w:val="bullet"/>
      <w:lvlText w:val=""/>
      <w:lvlJc w:val="left"/>
      <w:pPr>
        <w:ind w:left="720" w:hanging="360"/>
      </w:pPr>
      <w:rPr>
        <w:rFonts w:ascii="Symbol" w:hAnsi="Symbol"/>
      </w:rPr>
    </w:lvl>
    <w:lvl w:ilvl="4" w:tplc="22CA0E72">
      <w:start w:val="1"/>
      <w:numFmt w:val="bullet"/>
      <w:lvlText w:val=""/>
      <w:lvlJc w:val="left"/>
      <w:pPr>
        <w:ind w:left="720" w:hanging="360"/>
      </w:pPr>
      <w:rPr>
        <w:rFonts w:ascii="Symbol" w:hAnsi="Symbol"/>
      </w:rPr>
    </w:lvl>
    <w:lvl w:ilvl="5" w:tplc="7986A6A4">
      <w:start w:val="1"/>
      <w:numFmt w:val="bullet"/>
      <w:lvlText w:val=""/>
      <w:lvlJc w:val="left"/>
      <w:pPr>
        <w:ind w:left="720" w:hanging="360"/>
      </w:pPr>
      <w:rPr>
        <w:rFonts w:ascii="Symbol" w:hAnsi="Symbol"/>
      </w:rPr>
    </w:lvl>
    <w:lvl w:ilvl="6" w:tplc="862CC2E2">
      <w:start w:val="1"/>
      <w:numFmt w:val="bullet"/>
      <w:lvlText w:val=""/>
      <w:lvlJc w:val="left"/>
      <w:pPr>
        <w:ind w:left="720" w:hanging="360"/>
      </w:pPr>
      <w:rPr>
        <w:rFonts w:ascii="Symbol" w:hAnsi="Symbol"/>
      </w:rPr>
    </w:lvl>
    <w:lvl w:ilvl="7" w:tplc="E5EAF83A">
      <w:start w:val="1"/>
      <w:numFmt w:val="bullet"/>
      <w:lvlText w:val=""/>
      <w:lvlJc w:val="left"/>
      <w:pPr>
        <w:ind w:left="720" w:hanging="360"/>
      </w:pPr>
      <w:rPr>
        <w:rFonts w:ascii="Symbol" w:hAnsi="Symbol"/>
      </w:rPr>
    </w:lvl>
    <w:lvl w:ilvl="8" w:tplc="7A661D66">
      <w:start w:val="1"/>
      <w:numFmt w:val="bullet"/>
      <w:lvlText w:val=""/>
      <w:lvlJc w:val="left"/>
      <w:pPr>
        <w:ind w:left="720" w:hanging="360"/>
      </w:pPr>
      <w:rPr>
        <w:rFonts w:ascii="Symbol" w:hAnsi="Symbol"/>
      </w:rPr>
    </w:lvl>
  </w:abstractNum>
  <w:abstractNum w:abstractNumId="27" w15:restartNumberingAfterBreak="0">
    <w:nsid w:val="4E304DEF"/>
    <w:multiLevelType w:val="hybridMultilevel"/>
    <w:tmpl w:val="6BA07042"/>
    <w:lvl w:ilvl="0" w:tplc="29F063EA">
      <w:start w:val="6"/>
      <w:numFmt w:val="bullet"/>
      <w:lvlText w:val="-"/>
      <w:lvlJc w:val="left"/>
      <w:pPr>
        <w:ind w:left="936" w:hanging="360"/>
      </w:pPr>
      <w:rPr>
        <w:rFonts w:ascii="Arial" w:eastAsiaTheme="majorEastAsia" w:hAnsi="Arial" w:cs="Aria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8" w15:restartNumberingAfterBreak="0">
    <w:nsid w:val="4E821D5C"/>
    <w:multiLevelType w:val="hybridMultilevel"/>
    <w:tmpl w:val="F45C2C7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9" w15:restartNumberingAfterBreak="0">
    <w:nsid w:val="52D02E64"/>
    <w:multiLevelType w:val="hybridMultilevel"/>
    <w:tmpl w:val="D0D4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F63E8D"/>
    <w:multiLevelType w:val="hybridMultilevel"/>
    <w:tmpl w:val="BB38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30371"/>
    <w:multiLevelType w:val="hybridMultilevel"/>
    <w:tmpl w:val="6370443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3" w15:restartNumberingAfterBreak="0">
    <w:nsid w:val="57355CBA"/>
    <w:multiLevelType w:val="multilevel"/>
    <w:tmpl w:val="13503EEA"/>
    <w:lvl w:ilvl="0">
      <w:start w:val="1"/>
      <w:numFmt w:val="decimal"/>
      <w:lvlText w:val="%1"/>
      <w:lvlJc w:val="left"/>
      <w:pPr>
        <w:ind w:left="432" w:hanging="432"/>
      </w:pPr>
      <w:rPr>
        <w:rFonts w:asciiTheme="majorHAnsi" w:eastAsiaTheme="majorEastAsia" w:hAnsiTheme="majorHAnsi" w:cstheme="majorBidi"/>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FA207B0"/>
    <w:multiLevelType w:val="multilevel"/>
    <w:tmpl w:val="E1B2FC0C"/>
    <w:lvl w:ilvl="0">
      <w:start w:val="1"/>
      <w:numFmt w:val="decimal"/>
      <w:lvlText w:val="%1"/>
      <w:lvlJc w:val="left"/>
      <w:pPr>
        <w:ind w:left="432" w:hanging="432"/>
      </w:pPr>
      <w:rPr>
        <w:rFonts w:asciiTheme="majorHAnsi" w:eastAsiaTheme="majorEastAsia" w:hAnsiTheme="majorHAnsi" w:cstheme="majorBidi"/>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D78690A"/>
    <w:multiLevelType w:val="hybridMultilevel"/>
    <w:tmpl w:val="F9BE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C15EB4"/>
    <w:multiLevelType w:val="hybridMultilevel"/>
    <w:tmpl w:val="B8F8735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37"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F9318B4"/>
    <w:multiLevelType w:val="multilevel"/>
    <w:tmpl w:val="E1B2FC0C"/>
    <w:lvl w:ilvl="0">
      <w:start w:val="1"/>
      <w:numFmt w:val="decimal"/>
      <w:lvlText w:val="%1"/>
      <w:lvlJc w:val="left"/>
      <w:pPr>
        <w:ind w:left="432" w:hanging="432"/>
      </w:pPr>
      <w:rPr>
        <w:rFonts w:asciiTheme="majorHAnsi" w:eastAsiaTheme="majorEastAsia" w:hAnsiTheme="majorHAnsi" w:cstheme="majorBidi"/>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6FE5010D"/>
    <w:multiLevelType w:val="multilevel"/>
    <w:tmpl w:val="13503EEA"/>
    <w:lvl w:ilvl="0">
      <w:start w:val="1"/>
      <w:numFmt w:val="decimal"/>
      <w:lvlText w:val="%1"/>
      <w:lvlJc w:val="left"/>
      <w:pPr>
        <w:ind w:left="432" w:hanging="432"/>
      </w:pPr>
      <w:rPr>
        <w:rFonts w:asciiTheme="majorHAnsi" w:eastAsiaTheme="majorEastAsia" w:hAnsiTheme="majorHAnsi" w:cstheme="majorBidi"/>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42"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260579">
    <w:abstractNumId w:val="42"/>
  </w:num>
  <w:num w:numId="2" w16cid:durableId="424035414">
    <w:abstractNumId w:val="12"/>
  </w:num>
  <w:num w:numId="3" w16cid:durableId="180365439">
    <w:abstractNumId w:val="18"/>
  </w:num>
  <w:num w:numId="4" w16cid:durableId="1399089314">
    <w:abstractNumId w:val="37"/>
  </w:num>
  <w:num w:numId="5" w16cid:durableId="2000965655">
    <w:abstractNumId w:val="17"/>
  </w:num>
  <w:num w:numId="6" w16cid:durableId="70389579">
    <w:abstractNumId w:val="40"/>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0"/>
  </w:num>
  <w:num w:numId="18" w16cid:durableId="349140594">
    <w:abstractNumId w:val="31"/>
  </w:num>
  <w:num w:numId="19" w16cid:durableId="2386377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41"/>
  </w:num>
  <w:num w:numId="21" w16cid:durableId="384989474">
    <w:abstractNumId w:val="11"/>
  </w:num>
  <w:num w:numId="22" w16cid:durableId="370810139">
    <w:abstractNumId w:val="22"/>
  </w:num>
  <w:num w:numId="23" w16cid:durableId="895287414">
    <w:abstractNumId w:val="23"/>
  </w:num>
  <w:num w:numId="24" w16cid:durableId="926690216">
    <w:abstractNumId w:val="13"/>
  </w:num>
  <w:num w:numId="25" w16cid:durableId="479272192">
    <w:abstractNumId w:val="21"/>
  </w:num>
  <w:num w:numId="26" w16cid:durableId="444614654">
    <w:abstractNumId w:val="27"/>
  </w:num>
  <w:num w:numId="27" w16cid:durableId="1087337922">
    <w:abstractNumId w:val="32"/>
  </w:num>
  <w:num w:numId="28" w16cid:durableId="1984384013">
    <w:abstractNumId w:val="30"/>
  </w:num>
  <w:num w:numId="29" w16cid:durableId="1609390160">
    <w:abstractNumId w:val="28"/>
  </w:num>
  <w:num w:numId="30" w16cid:durableId="1898316027">
    <w:abstractNumId w:val="19"/>
  </w:num>
  <w:num w:numId="31" w16cid:durableId="1477187815">
    <w:abstractNumId w:val="14"/>
  </w:num>
  <w:num w:numId="32" w16cid:durableId="177088204">
    <w:abstractNumId w:val="15"/>
  </w:num>
  <w:num w:numId="33" w16cid:durableId="1649940080">
    <w:abstractNumId w:val="36"/>
  </w:num>
  <w:num w:numId="34" w16cid:durableId="1563756652">
    <w:abstractNumId w:val="25"/>
  </w:num>
  <w:num w:numId="35" w16cid:durableId="727338509">
    <w:abstractNumId w:val="26"/>
  </w:num>
  <w:num w:numId="36" w16cid:durableId="1184902625">
    <w:abstractNumId w:val="29"/>
  </w:num>
  <w:num w:numId="37" w16cid:durableId="1950775697">
    <w:abstractNumId w:val="39"/>
  </w:num>
  <w:num w:numId="38" w16cid:durableId="162090951">
    <w:abstractNumId w:val="24"/>
  </w:num>
  <w:num w:numId="39" w16cid:durableId="949162324">
    <w:abstractNumId w:val="38"/>
  </w:num>
  <w:num w:numId="40" w16cid:durableId="450562577">
    <w:abstractNumId w:val="34"/>
  </w:num>
  <w:num w:numId="41" w16cid:durableId="1579755262">
    <w:abstractNumId w:val="20"/>
  </w:num>
  <w:num w:numId="42" w16cid:durableId="6181104">
    <w:abstractNumId w:val="33"/>
  </w:num>
  <w:num w:numId="43" w16cid:durableId="1696081395">
    <w:abstractNumId w:val="16"/>
  </w:num>
  <w:num w:numId="44" w16cid:durableId="154016448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C58"/>
    <w:rsid w:val="0000255F"/>
    <w:rsid w:val="0000361E"/>
    <w:rsid w:val="00005EFD"/>
    <w:rsid w:val="0000617E"/>
    <w:rsid w:val="00015CC3"/>
    <w:rsid w:val="000232FA"/>
    <w:rsid w:val="00023AAD"/>
    <w:rsid w:val="00023DAB"/>
    <w:rsid w:val="00025142"/>
    <w:rsid w:val="00026798"/>
    <w:rsid w:val="00030FC5"/>
    <w:rsid w:val="000340F7"/>
    <w:rsid w:val="0003463A"/>
    <w:rsid w:val="00034C64"/>
    <w:rsid w:val="00040F2C"/>
    <w:rsid w:val="000413E2"/>
    <w:rsid w:val="000423C2"/>
    <w:rsid w:val="000449EC"/>
    <w:rsid w:val="00045061"/>
    <w:rsid w:val="00046147"/>
    <w:rsid w:val="00052451"/>
    <w:rsid w:val="00054FE0"/>
    <w:rsid w:val="00062245"/>
    <w:rsid w:val="000629A8"/>
    <w:rsid w:val="00065EF0"/>
    <w:rsid w:val="00067966"/>
    <w:rsid w:val="00074565"/>
    <w:rsid w:val="00076B6A"/>
    <w:rsid w:val="00082AAC"/>
    <w:rsid w:val="00084894"/>
    <w:rsid w:val="0008722A"/>
    <w:rsid w:val="00087C4B"/>
    <w:rsid w:val="000901DF"/>
    <w:rsid w:val="00091316"/>
    <w:rsid w:val="00091951"/>
    <w:rsid w:val="00091EC6"/>
    <w:rsid w:val="0009455D"/>
    <w:rsid w:val="0009597B"/>
    <w:rsid w:val="00096435"/>
    <w:rsid w:val="000974FE"/>
    <w:rsid w:val="000A057C"/>
    <w:rsid w:val="000A3262"/>
    <w:rsid w:val="000A3275"/>
    <w:rsid w:val="000A43C7"/>
    <w:rsid w:val="000A6A3B"/>
    <w:rsid w:val="000B169F"/>
    <w:rsid w:val="000B190C"/>
    <w:rsid w:val="000B3286"/>
    <w:rsid w:val="000B4793"/>
    <w:rsid w:val="000B5659"/>
    <w:rsid w:val="000B5C11"/>
    <w:rsid w:val="000B6837"/>
    <w:rsid w:val="000C0418"/>
    <w:rsid w:val="000C1928"/>
    <w:rsid w:val="000C249C"/>
    <w:rsid w:val="000C267B"/>
    <w:rsid w:val="000C4836"/>
    <w:rsid w:val="000C621B"/>
    <w:rsid w:val="000D0B2C"/>
    <w:rsid w:val="000D23F4"/>
    <w:rsid w:val="000D3EF5"/>
    <w:rsid w:val="000E210A"/>
    <w:rsid w:val="000E3AD2"/>
    <w:rsid w:val="000E4178"/>
    <w:rsid w:val="000E4D8D"/>
    <w:rsid w:val="000E61ED"/>
    <w:rsid w:val="000E6903"/>
    <w:rsid w:val="000F0838"/>
    <w:rsid w:val="000F13D6"/>
    <w:rsid w:val="000F3FF4"/>
    <w:rsid w:val="000F5F4A"/>
    <w:rsid w:val="000F6956"/>
    <w:rsid w:val="00103DFC"/>
    <w:rsid w:val="001074B0"/>
    <w:rsid w:val="00113DBD"/>
    <w:rsid w:val="001152A0"/>
    <w:rsid w:val="0011566A"/>
    <w:rsid w:val="00115FBE"/>
    <w:rsid w:val="00117A94"/>
    <w:rsid w:val="00121B59"/>
    <w:rsid w:val="00122023"/>
    <w:rsid w:val="00125603"/>
    <w:rsid w:val="0012564B"/>
    <w:rsid w:val="00125D40"/>
    <w:rsid w:val="001306EE"/>
    <w:rsid w:val="00130BA3"/>
    <w:rsid w:val="00131CB5"/>
    <w:rsid w:val="0013304E"/>
    <w:rsid w:val="00134A53"/>
    <w:rsid w:val="0013607D"/>
    <w:rsid w:val="001367FE"/>
    <w:rsid w:val="001373D5"/>
    <w:rsid w:val="001413B1"/>
    <w:rsid w:val="00141DFD"/>
    <w:rsid w:val="001420C5"/>
    <w:rsid w:val="00146BD0"/>
    <w:rsid w:val="001506B2"/>
    <w:rsid w:val="0015225C"/>
    <w:rsid w:val="00154718"/>
    <w:rsid w:val="00157212"/>
    <w:rsid w:val="001608D4"/>
    <w:rsid w:val="00161EDB"/>
    <w:rsid w:val="001634C6"/>
    <w:rsid w:val="00166A59"/>
    <w:rsid w:val="00166C1A"/>
    <w:rsid w:val="00167D9C"/>
    <w:rsid w:val="00170B27"/>
    <w:rsid w:val="00170E17"/>
    <w:rsid w:val="001737C6"/>
    <w:rsid w:val="00176A6B"/>
    <w:rsid w:val="00176DE3"/>
    <w:rsid w:val="00180E18"/>
    <w:rsid w:val="00183249"/>
    <w:rsid w:val="0019168B"/>
    <w:rsid w:val="00191731"/>
    <w:rsid w:val="00191E03"/>
    <w:rsid w:val="001946DE"/>
    <w:rsid w:val="00194EFC"/>
    <w:rsid w:val="001951EA"/>
    <w:rsid w:val="00195274"/>
    <w:rsid w:val="00196B29"/>
    <w:rsid w:val="001A00F4"/>
    <w:rsid w:val="001A2308"/>
    <w:rsid w:val="001A249F"/>
    <w:rsid w:val="001A35E6"/>
    <w:rsid w:val="001A46A7"/>
    <w:rsid w:val="001A52A7"/>
    <w:rsid w:val="001A6CB8"/>
    <w:rsid w:val="001A7F68"/>
    <w:rsid w:val="001B21A5"/>
    <w:rsid w:val="001B2737"/>
    <w:rsid w:val="001B600B"/>
    <w:rsid w:val="001B6874"/>
    <w:rsid w:val="001B6F68"/>
    <w:rsid w:val="001C051A"/>
    <w:rsid w:val="001C0E14"/>
    <w:rsid w:val="001C5C3C"/>
    <w:rsid w:val="001C784F"/>
    <w:rsid w:val="001D2029"/>
    <w:rsid w:val="001D589B"/>
    <w:rsid w:val="001D610B"/>
    <w:rsid w:val="001E1280"/>
    <w:rsid w:val="001E14C6"/>
    <w:rsid w:val="001E17A2"/>
    <w:rsid w:val="001E196D"/>
    <w:rsid w:val="001E1F18"/>
    <w:rsid w:val="001E2699"/>
    <w:rsid w:val="001E3B8F"/>
    <w:rsid w:val="001E46CA"/>
    <w:rsid w:val="001E54DD"/>
    <w:rsid w:val="001F22F7"/>
    <w:rsid w:val="001F7AC9"/>
    <w:rsid w:val="00200033"/>
    <w:rsid w:val="0020248A"/>
    <w:rsid w:val="00202DC1"/>
    <w:rsid w:val="0020460E"/>
    <w:rsid w:val="0020657E"/>
    <w:rsid w:val="00210B7B"/>
    <w:rsid w:val="00211474"/>
    <w:rsid w:val="00215570"/>
    <w:rsid w:val="002173E9"/>
    <w:rsid w:val="00220BAD"/>
    <w:rsid w:val="00221B8E"/>
    <w:rsid w:val="00222103"/>
    <w:rsid w:val="00230DF2"/>
    <w:rsid w:val="00235E55"/>
    <w:rsid w:val="002368BB"/>
    <w:rsid w:val="00236EC7"/>
    <w:rsid w:val="00240A38"/>
    <w:rsid w:val="002416A8"/>
    <w:rsid w:val="002431BB"/>
    <w:rsid w:val="002515FA"/>
    <w:rsid w:val="00252D87"/>
    <w:rsid w:val="00253AC1"/>
    <w:rsid w:val="002574B3"/>
    <w:rsid w:val="00260329"/>
    <w:rsid w:val="00261178"/>
    <w:rsid w:val="002613CB"/>
    <w:rsid w:val="00262040"/>
    <w:rsid w:val="00262843"/>
    <w:rsid w:val="00263057"/>
    <w:rsid w:val="0026560B"/>
    <w:rsid w:val="002660C1"/>
    <w:rsid w:val="00267AEC"/>
    <w:rsid w:val="00270FAC"/>
    <w:rsid w:val="002714A1"/>
    <w:rsid w:val="00271725"/>
    <w:rsid w:val="00274A5B"/>
    <w:rsid w:val="00275999"/>
    <w:rsid w:val="00275CCF"/>
    <w:rsid w:val="00276D78"/>
    <w:rsid w:val="00282832"/>
    <w:rsid w:val="00282AB4"/>
    <w:rsid w:val="00283565"/>
    <w:rsid w:val="002871A0"/>
    <w:rsid w:val="00291A5E"/>
    <w:rsid w:val="002959F3"/>
    <w:rsid w:val="00297D36"/>
    <w:rsid w:val="002A18B8"/>
    <w:rsid w:val="002A3414"/>
    <w:rsid w:val="002A4A8F"/>
    <w:rsid w:val="002A5620"/>
    <w:rsid w:val="002A5B04"/>
    <w:rsid w:val="002A5EB4"/>
    <w:rsid w:val="002A73BB"/>
    <w:rsid w:val="002B0A47"/>
    <w:rsid w:val="002B4062"/>
    <w:rsid w:val="002B5FE8"/>
    <w:rsid w:val="002B6A85"/>
    <w:rsid w:val="002B7249"/>
    <w:rsid w:val="002C2E3B"/>
    <w:rsid w:val="002D32E5"/>
    <w:rsid w:val="002D3A45"/>
    <w:rsid w:val="002D403F"/>
    <w:rsid w:val="002D5276"/>
    <w:rsid w:val="002D7D1B"/>
    <w:rsid w:val="002E0766"/>
    <w:rsid w:val="002E2EF3"/>
    <w:rsid w:val="002E4784"/>
    <w:rsid w:val="002E5E0E"/>
    <w:rsid w:val="002E695E"/>
    <w:rsid w:val="002E7477"/>
    <w:rsid w:val="002E7B91"/>
    <w:rsid w:val="002F1FEE"/>
    <w:rsid w:val="002F33DF"/>
    <w:rsid w:val="002F3B5B"/>
    <w:rsid w:val="002F4745"/>
    <w:rsid w:val="002F4F95"/>
    <w:rsid w:val="00303A9D"/>
    <w:rsid w:val="00305F9C"/>
    <w:rsid w:val="0031080F"/>
    <w:rsid w:val="00310A0E"/>
    <w:rsid w:val="00310A76"/>
    <w:rsid w:val="003124D1"/>
    <w:rsid w:val="003205F6"/>
    <w:rsid w:val="00321098"/>
    <w:rsid w:val="003224B6"/>
    <w:rsid w:val="0032264E"/>
    <w:rsid w:val="00323B6A"/>
    <w:rsid w:val="00326CBD"/>
    <w:rsid w:val="00331A1E"/>
    <w:rsid w:val="00331A7D"/>
    <w:rsid w:val="00337F48"/>
    <w:rsid w:val="003444E5"/>
    <w:rsid w:val="00351734"/>
    <w:rsid w:val="00351D20"/>
    <w:rsid w:val="003526E4"/>
    <w:rsid w:val="003528EB"/>
    <w:rsid w:val="00354CE6"/>
    <w:rsid w:val="003571D3"/>
    <w:rsid w:val="00360C32"/>
    <w:rsid w:val="003632FA"/>
    <w:rsid w:val="003664E9"/>
    <w:rsid w:val="00366753"/>
    <w:rsid w:val="00367FE6"/>
    <w:rsid w:val="00370D16"/>
    <w:rsid w:val="00372385"/>
    <w:rsid w:val="00376449"/>
    <w:rsid w:val="00382DBF"/>
    <w:rsid w:val="00386042"/>
    <w:rsid w:val="003860B9"/>
    <w:rsid w:val="0038728B"/>
    <w:rsid w:val="00387DE4"/>
    <w:rsid w:val="003955FB"/>
    <w:rsid w:val="003A03B1"/>
    <w:rsid w:val="003A3CE6"/>
    <w:rsid w:val="003A51A5"/>
    <w:rsid w:val="003A55AA"/>
    <w:rsid w:val="003A6B26"/>
    <w:rsid w:val="003A7405"/>
    <w:rsid w:val="003A7850"/>
    <w:rsid w:val="003B0636"/>
    <w:rsid w:val="003B0CD4"/>
    <w:rsid w:val="003B1283"/>
    <w:rsid w:val="003B2A89"/>
    <w:rsid w:val="003B379E"/>
    <w:rsid w:val="003B5104"/>
    <w:rsid w:val="003B667B"/>
    <w:rsid w:val="003B7FB4"/>
    <w:rsid w:val="003C147D"/>
    <w:rsid w:val="003C2126"/>
    <w:rsid w:val="003C291D"/>
    <w:rsid w:val="003C519A"/>
    <w:rsid w:val="003C6D18"/>
    <w:rsid w:val="003D1D94"/>
    <w:rsid w:val="003D4F65"/>
    <w:rsid w:val="003D7762"/>
    <w:rsid w:val="003E0215"/>
    <w:rsid w:val="003E081A"/>
    <w:rsid w:val="003E6D68"/>
    <w:rsid w:val="003F0B90"/>
    <w:rsid w:val="003F1223"/>
    <w:rsid w:val="003F173C"/>
    <w:rsid w:val="003F3031"/>
    <w:rsid w:val="003F4C1A"/>
    <w:rsid w:val="003F5059"/>
    <w:rsid w:val="003F5570"/>
    <w:rsid w:val="003F6B9A"/>
    <w:rsid w:val="004003B1"/>
    <w:rsid w:val="00400B11"/>
    <w:rsid w:val="004011F5"/>
    <w:rsid w:val="00405747"/>
    <w:rsid w:val="00406B6E"/>
    <w:rsid w:val="00406F93"/>
    <w:rsid w:val="00407831"/>
    <w:rsid w:val="004157B5"/>
    <w:rsid w:val="004171EC"/>
    <w:rsid w:val="00417DC4"/>
    <w:rsid w:val="0042123D"/>
    <w:rsid w:val="0042233B"/>
    <w:rsid w:val="00424E11"/>
    <w:rsid w:val="004253B7"/>
    <w:rsid w:val="004314B1"/>
    <w:rsid w:val="004359F7"/>
    <w:rsid w:val="00436359"/>
    <w:rsid w:val="00442EE0"/>
    <w:rsid w:val="00443BB1"/>
    <w:rsid w:val="0045208B"/>
    <w:rsid w:val="00452244"/>
    <w:rsid w:val="004530BB"/>
    <w:rsid w:val="00454793"/>
    <w:rsid w:val="0045630C"/>
    <w:rsid w:val="004618C7"/>
    <w:rsid w:val="00465897"/>
    <w:rsid w:val="004667B2"/>
    <w:rsid w:val="00466B70"/>
    <w:rsid w:val="004702D1"/>
    <w:rsid w:val="00471263"/>
    <w:rsid w:val="0047179E"/>
    <w:rsid w:val="00472822"/>
    <w:rsid w:val="00472D68"/>
    <w:rsid w:val="004734A0"/>
    <w:rsid w:val="00475EE3"/>
    <w:rsid w:val="00480FE5"/>
    <w:rsid w:val="0048358D"/>
    <w:rsid w:val="0048458E"/>
    <w:rsid w:val="00485EF4"/>
    <w:rsid w:val="004861B5"/>
    <w:rsid w:val="00486464"/>
    <w:rsid w:val="00486662"/>
    <w:rsid w:val="00486D3F"/>
    <w:rsid w:val="004874D1"/>
    <w:rsid w:val="00487E70"/>
    <w:rsid w:val="00490B8B"/>
    <w:rsid w:val="00490EFB"/>
    <w:rsid w:val="004910C9"/>
    <w:rsid w:val="00496685"/>
    <w:rsid w:val="004A0911"/>
    <w:rsid w:val="004A1A80"/>
    <w:rsid w:val="004A2B84"/>
    <w:rsid w:val="004A6BCA"/>
    <w:rsid w:val="004A7DD2"/>
    <w:rsid w:val="004B1024"/>
    <w:rsid w:val="004B1685"/>
    <w:rsid w:val="004B1ED7"/>
    <w:rsid w:val="004B20D0"/>
    <w:rsid w:val="004B2A88"/>
    <w:rsid w:val="004C045E"/>
    <w:rsid w:val="004C165C"/>
    <w:rsid w:val="004C1EA9"/>
    <w:rsid w:val="004C2849"/>
    <w:rsid w:val="004C2C78"/>
    <w:rsid w:val="004C3609"/>
    <w:rsid w:val="004C78C6"/>
    <w:rsid w:val="004D1542"/>
    <w:rsid w:val="004D3778"/>
    <w:rsid w:val="004E0F6C"/>
    <w:rsid w:val="004E41EC"/>
    <w:rsid w:val="004E6F06"/>
    <w:rsid w:val="004F1E70"/>
    <w:rsid w:val="004F2C11"/>
    <w:rsid w:val="004F3A26"/>
    <w:rsid w:val="004F3D8E"/>
    <w:rsid w:val="004F3E35"/>
    <w:rsid w:val="004F3F03"/>
    <w:rsid w:val="004F426C"/>
    <w:rsid w:val="005005F9"/>
    <w:rsid w:val="00500753"/>
    <w:rsid w:val="0050121E"/>
    <w:rsid w:val="00501CBB"/>
    <w:rsid w:val="005035F0"/>
    <w:rsid w:val="00503E19"/>
    <w:rsid w:val="00504A01"/>
    <w:rsid w:val="00504F92"/>
    <w:rsid w:val="00506B4E"/>
    <w:rsid w:val="00507E46"/>
    <w:rsid w:val="00510E3B"/>
    <w:rsid w:val="00516315"/>
    <w:rsid w:val="0051777F"/>
    <w:rsid w:val="0052177A"/>
    <w:rsid w:val="00522650"/>
    <w:rsid w:val="0052689A"/>
    <w:rsid w:val="00530F92"/>
    <w:rsid w:val="00531200"/>
    <w:rsid w:val="0053195D"/>
    <w:rsid w:val="005321F6"/>
    <w:rsid w:val="0053362C"/>
    <w:rsid w:val="00534F1E"/>
    <w:rsid w:val="00537160"/>
    <w:rsid w:val="00537AEA"/>
    <w:rsid w:val="0054008C"/>
    <w:rsid w:val="00542772"/>
    <w:rsid w:val="00546019"/>
    <w:rsid w:val="0055051B"/>
    <w:rsid w:val="00553614"/>
    <w:rsid w:val="00554395"/>
    <w:rsid w:val="0055602D"/>
    <w:rsid w:val="00556A04"/>
    <w:rsid w:val="00561D9C"/>
    <w:rsid w:val="00563784"/>
    <w:rsid w:val="00564978"/>
    <w:rsid w:val="005657B4"/>
    <w:rsid w:val="0056661F"/>
    <w:rsid w:val="00567FF3"/>
    <w:rsid w:val="00571D50"/>
    <w:rsid w:val="005733CF"/>
    <w:rsid w:val="00576FA3"/>
    <w:rsid w:val="00594A7A"/>
    <w:rsid w:val="00595975"/>
    <w:rsid w:val="00595D7F"/>
    <w:rsid w:val="00595EFB"/>
    <w:rsid w:val="00596A87"/>
    <w:rsid w:val="00596D19"/>
    <w:rsid w:val="005A18CC"/>
    <w:rsid w:val="005A39AF"/>
    <w:rsid w:val="005A3A5A"/>
    <w:rsid w:val="005A3EFE"/>
    <w:rsid w:val="005A4BC6"/>
    <w:rsid w:val="005A5AD5"/>
    <w:rsid w:val="005B47E5"/>
    <w:rsid w:val="005B51CB"/>
    <w:rsid w:val="005B5925"/>
    <w:rsid w:val="005B7D1F"/>
    <w:rsid w:val="005C1286"/>
    <w:rsid w:val="005C5C04"/>
    <w:rsid w:val="005C6410"/>
    <w:rsid w:val="005C758F"/>
    <w:rsid w:val="005D0B18"/>
    <w:rsid w:val="005D1485"/>
    <w:rsid w:val="005D20D5"/>
    <w:rsid w:val="005D3DFB"/>
    <w:rsid w:val="005D424C"/>
    <w:rsid w:val="005E6720"/>
    <w:rsid w:val="005F17D3"/>
    <w:rsid w:val="005F72DA"/>
    <w:rsid w:val="005F792B"/>
    <w:rsid w:val="0060088D"/>
    <w:rsid w:val="00600907"/>
    <w:rsid w:val="006034B1"/>
    <w:rsid w:val="006072DF"/>
    <w:rsid w:val="00607979"/>
    <w:rsid w:val="00607D53"/>
    <w:rsid w:val="0061037A"/>
    <w:rsid w:val="00610DD8"/>
    <w:rsid w:val="00615D3A"/>
    <w:rsid w:val="0061651A"/>
    <w:rsid w:val="00617407"/>
    <w:rsid w:val="00620083"/>
    <w:rsid w:val="006243BC"/>
    <w:rsid w:val="0063483B"/>
    <w:rsid w:val="00634DDF"/>
    <w:rsid w:val="00636654"/>
    <w:rsid w:val="006377CE"/>
    <w:rsid w:val="00637A8B"/>
    <w:rsid w:val="00642B63"/>
    <w:rsid w:val="00645C47"/>
    <w:rsid w:val="00645D73"/>
    <w:rsid w:val="00645E9E"/>
    <w:rsid w:val="00646390"/>
    <w:rsid w:val="00652404"/>
    <w:rsid w:val="006535DD"/>
    <w:rsid w:val="006538E2"/>
    <w:rsid w:val="0065440D"/>
    <w:rsid w:val="00654F6F"/>
    <w:rsid w:val="00657074"/>
    <w:rsid w:val="00657DE0"/>
    <w:rsid w:val="00660322"/>
    <w:rsid w:val="00660B40"/>
    <w:rsid w:val="00661609"/>
    <w:rsid w:val="006626B3"/>
    <w:rsid w:val="006633AF"/>
    <w:rsid w:val="006649BD"/>
    <w:rsid w:val="006651D7"/>
    <w:rsid w:val="00665451"/>
    <w:rsid w:val="0066700B"/>
    <w:rsid w:val="00670BFE"/>
    <w:rsid w:val="00675991"/>
    <w:rsid w:val="006805F3"/>
    <w:rsid w:val="00684ACE"/>
    <w:rsid w:val="00686B34"/>
    <w:rsid w:val="00687D2B"/>
    <w:rsid w:val="006900C1"/>
    <w:rsid w:val="0069189B"/>
    <w:rsid w:val="00692FDA"/>
    <w:rsid w:val="00694B2C"/>
    <w:rsid w:val="00696891"/>
    <w:rsid w:val="0069792E"/>
    <w:rsid w:val="00697DFA"/>
    <w:rsid w:val="006A0052"/>
    <w:rsid w:val="006A3F46"/>
    <w:rsid w:val="006A4FE6"/>
    <w:rsid w:val="006A5B32"/>
    <w:rsid w:val="006A5E0B"/>
    <w:rsid w:val="006A60D7"/>
    <w:rsid w:val="006B1150"/>
    <w:rsid w:val="006B33D7"/>
    <w:rsid w:val="006B3ABB"/>
    <w:rsid w:val="006B556B"/>
    <w:rsid w:val="006B6AC3"/>
    <w:rsid w:val="006C0C82"/>
    <w:rsid w:val="006C4095"/>
    <w:rsid w:val="006D11FC"/>
    <w:rsid w:val="006D287A"/>
    <w:rsid w:val="006D49D9"/>
    <w:rsid w:val="006D6498"/>
    <w:rsid w:val="006D65D5"/>
    <w:rsid w:val="006D69D5"/>
    <w:rsid w:val="006D7EC9"/>
    <w:rsid w:val="006E0B60"/>
    <w:rsid w:val="006E21A5"/>
    <w:rsid w:val="006E26CF"/>
    <w:rsid w:val="006E3333"/>
    <w:rsid w:val="006E6CCC"/>
    <w:rsid w:val="006E7235"/>
    <w:rsid w:val="006E7CAA"/>
    <w:rsid w:val="006F6526"/>
    <w:rsid w:val="00700188"/>
    <w:rsid w:val="00702D83"/>
    <w:rsid w:val="0071039C"/>
    <w:rsid w:val="007130C9"/>
    <w:rsid w:val="00714650"/>
    <w:rsid w:val="007148D8"/>
    <w:rsid w:val="007150F4"/>
    <w:rsid w:val="00716907"/>
    <w:rsid w:val="00722EDA"/>
    <w:rsid w:val="00722FD5"/>
    <w:rsid w:val="0073082B"/>
    <w:rsid w:val="00734A37"/>
    <w:rsid w:val="00734D37"/>
    <w:rsid w:val="007361D2"/>
    <w:rsid w:val="00736A8E"/>
    <w:rsid w:val="007377A4"/>
    <w:rsid w:val="00737863"/>
    <w:rsid w:val="00740044"/>
    <w:rsid w:val="007435FD"/>
    <w:rsid w:val="00745091"/>
    <w:rsid w:val="00747CE8"/>
    <w:rsid w:val="007514E3"/>
    <w:rsid w:val="0075225C"/>
    <w:rsid w:val="007560A0"/>
    <w:rsid w:val="007574FB"/>
    <w:rsid w:val="007578B9"/>
    <w:rsid w:val="0076455A"/>
    <w:rsid w:val="00764B18"/>
    <w:rsid w:val="00764BC8"/>
    <w:rsid w:val="007651B5"/>
    <w:rsid w:val="007657AD"/>
    <w:rsid w:val="0077217C"/>
    <w:rsid w:val="0077266D"/>
    <w:rsid w:val="00772A80"/>
    <w:rsid w:val="00775C72"/>
    <w:rsid w:val="00776A94"/>
    <w:rsid w:val="00777C35"/>
    <w:rsid w:val="0078144B"/>
    <w:rsid w:val="00781970"/>
    <w:rsid w:val="00782FE5"/>
    <w:rsid w:val="00786614"/>
    <w:rsid w:val="00787BD7"/>
    <w:rsid w:val="00790584"/>
    <w:rsid w:val="007905E2"/>
    <w:rsid w:val="0079175D"/>
    <w:rsid w:val="00791DAA"/>
    <w:rsid w:val="0079271B"/>
    <w:rsid w:val="00794547"/>
    <w:rsid w:val="00795AD2"/>
    <w:rsid w:val="00795C1A"/>
    <w:rsid w:val="00796819"/>
    <w:rsid w:val="007A0287"/>
    <w:rsid w:val="007A0E66"/>
    <w:rsid w:val="007A1122"/>
    <w:rsid w:val="007A611B"/>
    <w:rsid w:val="007A65C6"/>
    <w:rsid w:val="007A6EFB"/>
    <w:rsid w:val="007B07F9"/>
    <w:rsid w:val="007B169D"/>
    <w:rsid w:val="007B1911"/>
    <w:rsid w:val="007B322A"/>
    <w:rsid w:val="007B3308"/>
    <w:rsid w:val="007B5ABB"/>
    <w:rsid w:val="007B720C"/>
    <w:rsid w:val="007D2102"/>
    <w:rsid w:val="007D2BCF"/>
    <w:rsid w:val="007D3347"/>
    <w:rsid w:val="007D3566"/>
    <w:rsid w:val="007D45FF"/>
    <w:rsid w:val="007E298E"/>
    <w:rsid w:val="007E4CC7"/>
    <w:rsid w:val="007E5087"/>
    <w:rsid w:val="007E6458"/>
    <w:rsid w:val="007F3BE4"/>
    <w:rsid w:val="007F447E"/>
    <w:rsid w:val="008000CD"/>
    <w:rsid w:val="008026BD"/>
    <w:rsid w:val="00803D56"/>
    <w:rsid w:val="00806C39"/>
    <w:rsid w:val="008156D5"/>
    <w:rsid w:val="00815A26"/>
    <w:rsid w:val="00824DDD"/>
    <w:rsid w:val="008329EC"/>
    <w:rsid w:val="008359B5"/>
    <w:rsid w:val="008406E9"/>
    <w:rsid w:val="00842189"/>
    <w:rsid w:val="00842432"/>
    <w:rsid w:val="0084395D"/>
    <w:rsid w:val="00844206"/>
    <w:rsid w:val="008467C2"/>
    <w:rsid w:val="00847E9E"/>
    <w:rsid w:val="008509B7"/>
    <w:rsid w:val="00854268"/>
    <w:rsid w:val="00854C44"/>
    <w:rsid w:val="00854E81"/>
    <w:rsid w:val="008556E7"/>
    <w:rsid w:val="008569CD"/>
    <w:rsid w:val="00857E15"/>
    <w:rsid w:val="00860F3F"/>
    <w:rsid w:val="008624FD"/>
    <w:rsid w:val="008627B3"/>
    <w:rsid w:val="00862D95"/>
    <w:rsid w:val="00866360"/>
    <w:rsid w:val="008664C3"/>
    <w:rsid w:val="008704A2"/>
    <w:rsid w:val="00870A1A"/>
    <w:rsid w:val="008735FE"/>
    <w:rsid w:val="008741DB"/>
    <w:rsid w:val="008756B6"/>
    <w:rsid w:val="00875759"/>
    <w:rsid w:val="008761A6"/>
    <w:rsid w:val="00876607"/>
    <w:rsid w:val="00882F8C"/>
    <w:rsid w:val="0088394C"/>
    <w:rsid w:val="00883B41"/>
    <w:rsid w:val="00884B60"/>
    <w:rsid w:val="0088599E"/>
    <w:rsid w:val="00886880"/>
    <w:rsid w:val="00886B44"/>
    <w:rsid w:val="008879EC"/>
    <w:rsid w:val="00892842"/>
    <w:rsid w:val="00894AAD"/>
    <w:rsid w:val="00897C30"/>
    <w:rsid w:val="008A0385"/>
    <w:rsid w:val="008A15F7"/>
    <w:rsid w:val="008A186D"/>
    <w:rsid w:val="008A3523"/>
    <w:rsid w:val="008A3985"/>
    <w:rsid w:val="008A41D3"/>
    <w:rsid w:val="008A5CEE"/>
    <w:rsid w:val="008B0FB3"/>
    <w:rsid w:val="008B3DDA"/>
    <w:rsid w:val="008B503A"/>
    <w:rsid w:val="008B6AB2"/>
    <w:rsid w:val="008B708E"/>
    <w:rsid w:val="008C06DD"/>
    <w:rsid w:val="008C2545"/>
    <w:rsid w:val="008C551C"/>
    <w:rsid w:val="008C5B1F"/>
    <w:rsid w:val="008C67A3"/>
    <w:rsid w:val="008C7086"/>
    <w:rsid w:val="008C7851"/>
    <w:rsid w:val="008D23D2"/>
    <w:rsid w:val="008D31BF"/>
    <w:rsid w:val="008D6336"/>
    <w:rsid w:val="008E090D"/>
    <w:rsid w:val="008E0D3D"/>
    <w:rsid w:val="008E1EF2"/>
    <w:rsid w:val="008E32C8"/>
    <w:rsid w:val="008F036F"/>
    <w:rsid w:val="008F0B1F"/>
    <w:rsid w:val="008F329C"/>
    <w:rsid w:val="00901D16"/>
    <w:rsid w:val="00903E0A"/>
    <w:rsid w:val="0090449D"/>
    <w:rsid w:val="00905E84"/>
    <w:rsid w:val="0091362F"/>
    <w:rsid w:val="009136E0"/>
    <w:rsid w:val="00923D7F"/>
    <w:rsid w:val="009278CA"/>
    <w:rsid w:val="0093058B"/>
    <w:rsid w:val="00930C44"/>
    <w:rsid w:val="009342DA"/>
    <w:rsid w:val="009359B4"/>
    <w:rsid w:val="009359FD"/>
    <w:rsid w:val="00935B2D"/>
    <w:rsid w:val="009417FA"/>
    <w:rsid w:val="00944352"/>
    <w:rsid w:val="00945CC4"/>
    <w:rsid w:val="00950243"/>
    <w:rsid w:val="00952ED2"/>
    <w:rsid w:val="00953E06"/>
    <w:rsid w:val="0095776A"/>
    <w:rsid w:val="00960BBC"/>
    <w:rsid w:val="0096221E"/>
    <w:rsid w:val="009667DF"/>
    <w:rsid w:val="00967BAE"/>
    <w:rsid w:val="00971EA6"/>
    <w:rsid w:val="0097231C"/>
    <w:rsid w:val="00972F9A"/>
    <w:rsid w:val="00973B36"/>
    <w:rsid w:val="00973C73"/>
    <w:rsid w:val="00974CC8"/>
    <w:rsid w:val="009757A9"/>
    <w:rsid w:val="009757CF"/>
    <w:rsid w:val="0098001E"/>
    <w:rsid w:val="00981B31"/>
    <w:rsid w:val="009826C6"/>
    <w:rsid w:val="009841A2"/>
    <w:rsid w:val="00993BF9"/>
    <w:rsid w:val="00995A7C"/>
    <w:rsid w:val="00995D40"/>
    <w:rsid w:val="009A3418"/>
    <w:rsid w:val="009A79DA"/>
    <w:rsid w:val="009B1B77"/>
    <w:rsid w:val="009B4A27"/>
    <w:rsid w:val="009C0279"/>
    <w:rsid w:val="009C0834"/>
    <w:rsid w:val="009C2331"/>
    <w:rsid w:val="009C26A5"/>
    <w:rsid w:val="009C6AA5"/>
    <w:rsid w:val="009C7B96"/>
    <w:rsid w:val="009D2881"/>
    <w:rsid w:val="009D4EF7"/>
    <w:rsid w:val="009E0CCD"/>
    <w:rsid w:val="009E2024"/>
    <w:rsid w:val="009E4D51"/>
    <w:rsid w:val="009E4DD4"/>
    <w:rsid w:val="009F32D3"/>
    <w:rsid w:val="009F4453"/>
    <w:rsid w:val="009F5851"/>
    <w:rsid w:val="00A05E79"/>
    <w:rsid w:val="00A10647"/>
    <w:rsid w:val="00A11DD3"/>
    <w:rsid w:val="00A160EF"/>
    <w:rsid w:val="00A16D4D"/>
    <w:rsid w:val="00A17065"/>
    <w:rsid w:val="00A21BD9"/>
    <w:rsid w:val="00A22581"/>
    <w:rsid w:val="00A27C7B"/>
    <w:rsid w:val="00A36306"/>
    <w:rsid w:val="00A371A3"/>
    <w:rsid w:val="00A377D8"/>
    <w:rsid w:val="00A41CA4"/>
    <w:rsid w:val="00A45F36"/>
    <w:rsid w:val="00A5325A"/>
    <w:rsid w:val="00A53595"/>
    <w:rsid w:val="00A56221"/>
    <w:rsid w:val="00A5675A"/>
    <w:rsid w:val="00A57692"/>
    <w:rsid w:val="00A62856"/>
    <w:rsid w:val="00A62C08"/>
    <w:rsid w:val="00A640A2"/>
    <w:rsid w:val="00A655F5"/>
    <w:rsid w:val="00A655F6"/>
    <w:rsid w:val="00A6604A"/>
    <w:rsid w:val="00A66303"/>
    <w:rsid w:val="00A71B34"/>
    <w:rsid w:val="00A72BD3"/>
    <w:rsid w:val="00A75C38"/>
    <w:rsid w:val="00A76799"/>
    <w:rsid w:val="00A7691F"/>
    <w:rsid w:val="00A77BA9"/>
    <w:rsid w:val="00A77FF1"/>
    <w:rsid w:val="00A824D3"/>
    <w:rsid w:val="00A83660"/>
    <w:rsid w:val="00A857AB"/>
    <w:rsid w:val="00A864CD"/>
    <w:rsid w:val="00A905E0"/>
    <w:rsid w:val="00A93C74"/>
    <w:rsid w:val="00AA1EEA"/>
    <w:rsid w:val="00AA206D"/>
    <w:rsid w:val="00AA4AA5"/>
    <w:rsid w:val="00AA6B95"/>
    <w:rsid w:val="00AA79D7"/>
    <w:rsid w:val="00AA7ABB"/>
    <w:rsid w:val="00AB0430"/>
    <w:rsid w:val="00AB0435"/>
    <w:rsid w:val="00AB1BB2"/>
    <w:rsid w:val="00AB1BB3"/>
    <w:rsid w:val="00AB387D"/>
    <w:rsid w:val="00AB73A5"/>
    <w:rsid w:val="00AB773D"/>
    <w:rsid w:val="00AB7A21"/>
    <w:rsid w:val="00AC3115"/>
    <w:rsid w:val="00AC38C9"/>
    <w:rsid w:val="00AC7036"/>
    <w:rsid w:val="00AD0983"/>
    <w:rsid w:val="00AD1CA8"/>
    <w:rsid w:val="00AD4E4F"/>
    <w:rsid w:val="00AD708A"/>
    <w:rsid w:val="00AE1B99"/>
    <w:rsid w:val="00AE1D62"/>
    <w:rsid w:val="00AE3499"/>
    <w:rsid w:val="00AE3A65"/>
    <w:rsid w:val="00AE51FB"/>
    <w:rsid w:val="00AE6583"/>
    <w:rsid w:val="00AE7CC3"/>
    <w:rsid w:val="00AF2B42"/>
    <w:rsid w:val="00AF644B"/>
    <w:rsid w:val="00AF6BDF"/>
    <w:rsid w:val="00AF747A"/>
    <w:rsid w:val="00B000F5"/>
    <w:rsid w:val="00B002A7"/>
    <w:rsid w:val="00B0097C"/>
    <w:rsid w:val="00B00C20"/>
    <w:rsid w:val="00B02B1F"/>
    <w:rsid w:val="00B04A83"/>
    <w:rsid w:val="00B05A36"/>
    <w:rsid w:val="00B07087"/>
    <w:rsid w:val="00B0766D"/>
    <w:rsid w:val="00B07E4A"/>
    <w:rsid w:val="00B10999"/>
    <w:rsid w:val="00B112D9"/>
    <w:rsid w:val="00B11D1A"/>
    <w:rsid w:val="00B1203D"/>
    <w:rsid w:val="00B1455D"/>
    <w:rsid w:val="00B1459C"/>
    <w:rsid w:val="00B160B7"/>
    <w:rsid w:val="00B1633A"/>
    <w:rsid w:val="00B2062B"/>
    <w:rsid w:val="00B222F9"/>
    <w:rsid w:val="00B25752"/>
    <w:rsid w:val="00B34FCE"/>
    <w:rsid w:val="00B35C76"/>
    <w:rsid w:val="00B36065"/>
    <w:rsid w:val="00B36605"/>
    <w:rsid w:val="00B476F5"/>
    <w:rsid w:val="00B50D6C"/>
    <w:rsid w:val="00B528ED"/>
    <w:rsid w:val="00B53700"/>
    <w:rsid w:val="00B53AC2"/>
    <w:rsid w:val="00B5414D"/>
    <w:rsid w:val="00B54D4D"/>
    <w:rsid w:val="00B60299"/>
    <w:rsid w:val="00B60BC4"/>
    <w:rsid w:val="00B6307B"/>
    <w:rsid w:val="00B64A07"/>
    <w:rsid w:val="00B65212"/>
    <w:rsid w:val="00B66601"/>
    <w:rsid w:val="00B67587"/>
    <w:rsid w:val="00B72E3D"/>
    <w:rsid w:val="00B738AC"/>
    <w:rsid w:val="00B73CAB"/>
    <w:rsid w:val="00B75892"/>
    <w:rsid w:val="00B77566"/>
    <w:rsid w:val="00B82F2B"/>
    <w:rsid w:val="00B84823"/>
    <w:rsid w:val="00B8619E"/>
    <w:rsid w:val="00B86C4E"/>
    <w:rsid w:val="00B86E39"/>
    <w:rsid w:val="00B90213"/>
    <w:rsid w:val="00B9186C"/>
    <w:rsid w:val="00B928F0"/>
    <w:rsid w:val="00B92E92"/>
    <w:rsid w:val="00B937F2"/>
    <w:rsid w:val="00BA04BE"/>
    <w:rsid w:val="00BA112E"/>
    <w:rsid w:val="00BA1219"/>
    <w:rsid w:val="00BA4D5D"/>
    <w:rsid w:val="00BA628A"/>
    <w:rsid w:val="00BA6C69"/>
    <w:rsid w:val="00BB354A"/>
    <w:rsid w:val="00BB3FBB"/>
    <w:rsid w:val="00BB488E"/>
    <w:rsid w:val="00BB5211"/>
    <w:rsid w:val="00BB5951"/>
    <w:rsid w:val="00BB74FF"/>
    <w:rsid w:val="00BC16EB"/>
    <w:rsid w:val="00BC3A36"/>
    <w:rsid w:val="00BC3B6B"/>
    <w:rsid w:val="00BC77B0"/>
    <w:rsid w:val="00BD6AE0"/>
    <w:rsid w:val="00BE4F63"/>
    <w:rsid w:val="00BE78A0"/>
    <w:rsid w:val="00BF11C0"/>
    <w:rsid w:val="00BF4057"/>
    <w:rsid w:val="00BF46F2"/>
    <w:rsid w:val="00BF62EA"/>
    <w:rsid w:val="00BF72C6"/>
    <w:rsid w:val="00C0060C"/>
    <w:rsid w:val="00C009AE"/>
    <w:rsid w:val="00C02DD5"/>
    <w:rsid w:val="00C05B84"/>
    <w:rsid w:val="00C07B20"/>
    <w:rsid w:val="00C10123"/>
    <w:rsid w:val="00C1056B"/>
    <w:rsid w:val="00C10809"/>
    <w:rsid w:val="00C15549"/>
    <w:rsid w:val="00C15A90"/>
    <w:rsid w:val="00C17055"/>
    <w:rsid w:val="00C2451C"/>
    <w:rsid w:val="00C24D8F"/>
    <w:rsid w:val="00C270F8"/>
    <w:rsid w:val="00C30F00"/>
    <w:rsid w:val="00C341BE"/>
    <w:rsid w:val="00C35FF4"/>
    <w:rsid w:val="00C37113"/>
    <w:rsid w:val="00C5042B"/>
    <w:rsid w:val="00C5238A"/>
    <w:rsid w:val="00C52587"/>
    <w:rsid w:val="00C54474"/>
    <w:rsid w:val="00C55270"/>
    <w:rsid w:val="00C60A7B"/>
    <w:rsid w:val="00C677B9"/>
    <w:rsid w:val="00C71234"/>
    <w:rsid w:val="00C75A6A"/>
    <w:rsid w:val="00C769B6"/>
    <w:rsid w:val="00C806FC"/>
    <w:rsid w:val="00C80B0A"/>
    <w:rsid w:val="00C81387"/>
    <w:rsid w:val="00C81755"/>
    <w:rsid w:val="00C8209B"/>
    <w:rsid w:val="00C8216D"/>
    <w:rsid w:val="00C821E0"/>
    <w:rsid w:val="00C86369"/>
    <w:rsid w:val="00C95A6E"/>
    <w:rsid w:val="00CA1500"/>
    <w:rsid w:val="00CA3B3E"/>
    <w:rsid w:val="00CA3F9F"/>
    <w:rsid w:val="00CA436F"/>
    <w:rsid w:val="00CA6BFB"/>
    <w:rsid w:val="00CA6EDB"/>
    <w:rsid w:val="00CB137C"/>
    <w:rsid w:val="00CB1F64"/>
    <w:rsid w:val="00CB3AFB"/>
    <w:rsid w:val="00CB5D44"/>
    <w:rsid w:val="00CB71B9"/>
    <w:rsid w:val="00CB763E"/>
    <w:rsid w:val="00CB78F5"/>
    <w:rsid w:val="00CC3ABB"/>
    <w:rsid w:val="00CC41E6"/>
    <w:rsid w:val="00CC5573"/>
    <w:rsid w:val="00CD1007"/>
    <w:rsid w:val="00CD1D85"/>
    <w:rsid w:val="00CD3B41"/>
    <w:rsid w:val="00CD441C"/>
    <w:rsid w:val="00CD488E"/>
    <w:rsid w:val="00CD582A"/>
    <w:rsid w:val="00CD59A9"/>
    <w:rsid w:val="00CD5A8F"/>
    <w:rsid w:val="00CE0386"/>
    <w:rsid w:val="00CE090B"/>
    <w:rsid w:val="00CE2052"/>
    <w:rsid w:val="00CE285A"/>
    <w:rsid w:val="00CE3A32"/>
    <w:rsid w:val="00CE3AEA"/>
    <w:rsid w:val="00CE47D3"/>
    <w:rsid w:val="00CE499E"/>
    <w:rsid w:val="00CE608D"/>
    <w:rsid w:val="00CE652E"/>
    <w:rsid w:val="00CE6FD3"/>
    <w:rsid w:val="00CF23CA"/>
    <w:rsid w:val="00CF2812"/>
    <w:rsid w:val="00CF5E8D"/>
    <w:rsid w:val="00CF64AE"/>
    <w:rsid w:val="00D01C52"/>
    <w:rsid w:val="00D049C3"/>
    <w:rsid w:val="00D058E4"/>
    <w:rsid w:val="00D05CA2"/>
    <w:rsid w:val="00D05E69"/>
    <w:rsid w:val="00D11BC9"/>
    <w:rsid w:val="00D15AF4"/>
    <w:rsid w:val="00D20880"/>
    <w:rsid w:val="00D210F9"/>
    <w:rsid w:val="00D2584E"/>
    <w:rsid w:val="00D25E6D"/>
    <w:rsid w:val="00D27696"/>
    <w:rsid w:val="00D32793"/>
    <w:rsid w:val="00D32D46"/>
    <w:rsid w:val="00D35312"/>
    <w:rsid w:val="00D35396"/>
    <w:rsid w:val="00D3631D"/>
    <w:rsid w:val="00D440FF"/>
    <w:rsid w:val="00D4517C"/>
    <w:rsid w:val="00D45BE4"/>
    <w:rsid w:val="00D45D73"/>
    <w:rsid w:val="00D46E50"/>
    <w:rsid w:val="00D510A8"/>
    <w:rsid w:val="00D51968"/>
    <w:rsid w:val="00D51A3E"/>
    <w:rsid w:val="00D51B92"/>
    <w:rsid w:val="00D52B06"/>
    <w:rsid w:val="00D5591B"/>
    <w:rsid w:val="00D62331"/>
    <w:rsid w:val="00D63352"/>
    <w:rsid w:val="00D644B3"/>
    <w:rsid w:val="00D647D9"/>
    <w:rsid w:val="00D6723A"/>
    <w:rsid w:val="00D703C2"/>
    <w:rsid w:val="00D715C6"/>
    <w:rsid w:val="00D721CE"/>
    <w:rsid w:val="00D7363B"/>
    <w:rsid w:val="00D74743"/>
    <w:rsid w:val="00D75719"/>
    <w:rsid w:val="00D76C02"/>
    <w:rsid w:val="00D82B4C"/>
    <w:rsid w:val="00D8425D"/>
    <w:rsid w:val="00D84C82"/>
    <w:rsid w:val="00D8525E"/>
    <w:rsid w:val="00D87597"/>
    <w:rsid w:val="00D9301C"/>
    <w:rsid w:val="00D931FF"/>
    <w:rsid w:val="00D93CE5"/>
    <w:rsid w:val="00D94E83"/>
    <w:rsid w:val="00D958B6"/>
    <w:rsid w:val="00D973DB"/>
    <w:rsid w:val="00DA05EE"/>
    <w:rsid w:val="00DA0BA1"/>
    <w:rsid w:val="00DA7EE1"/>
    <w:rsid w:val="00DB3819"/>
    <w:rsid w:val="00DB630D"/>
    <w:rsid w:val="00DC097F"/>
    <w:rsid w:val="00DC324B"/>
    <w:rsid w:val="00DD072A"/>
    <w:rsid w:val="00DD3D66"/>
    <w:rsid w:val="00DD5A08"/>
    <w:rsid w:val="00DD7B9F"/>
    <w:rsid w:val="00DE2527"/>
    <w:rsid w:val="00DE4000"/>
    <w:rsid w:val="00DE6350"/>
    <w:rsid w:val="00DE6588"/>
    <w:rsid w:val="00DF260A"/>
    <w:rsid w:val="00DF497B"/>
    <w:rsid w:val="00DF4B2A"/>
    <w:rsid w:val="00E03E8E"/>
    <w:rsid w:val="00E060D3"/>
    <w:rsid w:val="00E070E1"/>
    <w:rsid w:val="00E0762D"/>
    <w:rsid w:val="00E101F4"/>
    <w:rsid w:val="00E112F8"/>
    <w:rsid w:val="00E14C2F"/>
    <w:rsid w:val="00E14DF8"/>
    <w:rsid w:val="00E15101"/>
    <w:rsid w:val="00E2013E"/>
    <w:rsid w:val="00E212A3"/>
    <w:rsid w:val="00E215B5"/>
    <w:rsid w:val="00E226C9"/>
    <w:rsid w:val="00E230BC"/>
    <w:rsid w:val="00E279BE"/>
    <w:rsid w:val="00E27D20"/>
    <w:rsid w:val="00E308F8"/>
    <w:rsid w:val="00E33220"/>
    <w:rsid w:val="00E3322F"/>
    <w:rsid w:val="00E343E3"/>
    <w:rsid w:val="00E374E4"/>
    <w:rsid w:val="00E42B77"/>
    <w:rsid w:val="00E43918"/>
    <w:rsid w:val="00E440EB"/>
    <w:rsid w:val="00E46C08"/>
    <w:rsid w:val="00E53462"/>
    <w:rsid w:val="00E544E7"/>
    <w:rsid w:val="00E55577"/>
    <w:rsid w:val="00E56683"/>
    <w:rsid w:val="00E575C3"/>
    <w:rsid w:val="00E614A5"/>
    <w:rsid w:val="00E6265B"/>
    <w:rsid w:val="00E6276A"/>
    <w:rsid w:val="00E62C64"/>
    <w:rsid w:val="00E63083"/>
    <w:rsid w:val="00E677DE"/>
    <w:rsid w:val="00E7139C"/>
    <w:rsid w:val="00E734C7"/>
    <w:rsid w:val="00E74384"/>
    <w:rsid w:val="00E76B56"/>
    <w:rsid w:val="00E8212D"/>
    <w:rsid w:val="00E84FDC"/>
    <w:rsid w:val="00E85C72"/>
    <w:rsid w:val="00E86A08"/>
    <w:rsid w:val="00E90874"/>
    <w:rsid w:val="00E9314D"/>
    <w:rsid w:val="00E943E3"/>
    <w:rsid w:val="00EA4807"/>
    <w:rsid w:val="00EA4B12"/>
    <w:rsid w:val="00EA69F4"/>
    <w:rsid w:val="00EB273E"/>
    <w:rsid w:val="00EB31BE"/>
    <w:rsid w:val="00EB44CC"/>
    <w:rsid w:val="00EB52BC"/>
    <w:rsid w:val="00EB5825"/>
    <w:rsid w:val="00EB5A57"/>
    <w:rsid w:val="00EB68B4"/>
    <w:rsid w:val="00EB6DFF"/>
    <w:rsid w:val="00EB7097"/>
    <w:rsid w:val="00EC2C8F"/>
    <w:rsid w:val="00EC4226"/>
    <w:rsid w:val="00EC4E3C"/>
    <w:rsid w:val="00ED02EC"/>
    <w:rsid w:val="00ED1374"/>
    <w:rsid w:val="00ED184E"/>
    <w:rsid w:val="00ED19D8"/>
    <w:rsid w:val="00ED1A0D"/>
    <w:rsid w:val="00ED6897"/>
    <w:rsid w:val="00EE1EC2"/>
    <w:rsid w:val="00EE23DF"/>
    <w:rsid w:val="00EE44F9"/>
    <w:rsid w:val="00EE64DB"/>
    <w:rsid w:val="00EE69BB"/>
    <w:rsid w:val="00EF002E"/>
    <w:rsid w:val="00EF0689"/>
    <w:rsid w:val="00EF1F4C"/>
    <w:rsid w:val="00EF69B5"/>
    <w:rsid w:val="00EF72B5"/>
    <w:rsid w:val="00F000E1"/>
    <w:rsid w:val="00F07112"/>
    <w:rsid w:val="00F11511"/>
    <w:rsid w:val="00F16A0A"/>
    <w:rsid w:val="00F20049"/>
    <w:rsid w:val="00F2034A"/>
    <w:rsid w:val="00F20D28"/>
    <w:rsid w:val="00F225CE"/>
    <w:rsid w:val="00F249C2"/>
    <w:rsid w:val="00F26E81"/>
    <w:rsid w:val="00F314A6"/>
    <w:rsid w:val="00F31A84"/>
    <w:rsid w:val="00F35AE5"/>
    <w:rsid w:val="00F360A5"/>
    <w:rsid w:val="00F37315"/>
    <w:rsid w:val="00F37F9B"/>
    <w:rsid w:val="00F42DC4"/>
    <w:rsid w:val="00F45BE5"/>
    <w:rsid w:val="00F51354"/>
    <w:rsid w:val="00F51960"/>
    <w:rsid w:val="00F55A66"/>
    <w:rsid w:val="00F57BC0"/>
    <w:rsid w:val="00F61353"/>
    <w:rsid w:val="00F66B16"/>
    <w:rsid w:val="00F67579"/>
    <w:rsid w:val="00F7011E"/>
    <w:rsid w:val="00F74ABA"/>
    <w:rsid w:val="00F76847"/>
    <w:rsid w:val="00F77DD5"/>
    <w:rsid w:val="00F77E1A"/>
    <w:rsid w:val="00F8033C"/>
    <w:rsid w:val="00F826BA"/>
    <w:rsid w:val="00F82C6D"/>
    <w:rsid w:val="00F837E0"/>
    <w:rsid w:val="00F84635"/>
    <w:rsid w:val="00F84C81"/>
    <w:rsid w:val="00F851FE"/>
    <w:rsid w:val="00F85A53"/>
    <w:rsid w:val="00F905DF"/>
    <w:rsid w:val="00F9082B"/>
    <w:rsid w:val="00F90BF3"/>
    <w:rsid w:val="00F91FFC"/>
    <w:rsid w:val="00F94792"/>
    <w:rsid w:val="00F963C9"/>
    <w:rsid w:val="00F96562"/>
    <w:rsid w:val="00F97574"/>
    <w:rsid w:val="00FA30DC"/>
    <w:rsid w:val="00FB2918"/>
    <w:rsid w:val="00FB425C"/>
    <w:rsid w:val="00FB4528"/>
    <w:rsid w:val="00FB4A4B"/>
    <w:rsid w:val="00FB68D6"/>
    <w:rsid w:val="00FC0C30"/>
    <w:rsid w:val="00FC6E7A"/>
    <w:rsid w:val="00FC7668"/>
    <w:rsid w:val="00FD0FFB"/>
    <w:rsid w:val="00FD42F0"/>
    <w:rsid w:val="00FD5FA5"/>
    <w:rsid w:val="00FD6200"/>
    <w:rsid w:val="00FD74CD"/>
    <w:rsid w:val="00FE29CF"/>
    <w:rsid w:val="00FE2C3C"/>
    <w:rsid w:val="00FE4364"/>
    <w:rsid w:val="00FE6B6F"/>
    <w:rsid w:val="00FE6CEF"/>
    <w:rsid w:val="00FE714C"/>
    <w:rsid w:val="00FF6416"/>
    <w:rsid w:val="00FF66AC"/>
    <w:rsid w:val="00FF7356"/>
    <w:rsid w:val="017B574D"/>
    <w:rsid w:val="0407E696"/>
    <w:rsid w:val="0598C42B"/>
    <w:rsid w:val="0850B65B"/>
    <w:rsid w:val="12C13318"/>
    <w:rsid w:val="15E3BA18"/>
    <w:rsid w:val="15EC242F"/>
    <w:rsid w:val="1B368405"/>
    <w:rsid w:val="1CC4707F"/>
    <w:rsid w:val="1CDBD680"/>
    <w:rsid w:val="1E9F873C"/>
    <w:rsid w:val="2061074D"/>
    <w:rsid w:val="22A63218"/>
    <w:rsid w:val="24C46B05"/>
    <w:rsid w:val="2A779ACB"/>
    <w:rsid w:val="3098D575"/>
    <w:rsid w:val="32698453"/>
    <w:rsid w:val="373CF576"/>
    <w:rsid w:val="37983C21"/>
    <w:rsid w:val="37D0B373"/>
    <w:rsid w:val="3A5F3A61"/>
    <w:rsid w:val="3E870844"/>
    <w:rsid w:val="3EE043A9"/>
    <w:rsid w:val="3F0B6208"/>
    <w:rsid w:val="415E2FE5"/>
    <w:rsid w:val="47C4C649"/>
    <w:rsid w:val="48907E7A"/>
    <w:rsid w:val="48CAEDEE"/>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F6418CF0-BA76-43D3-ABE1-DD59F48E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08E"/>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8B708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B708E"/>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8B708E"/>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8B708E"/>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8B708E"/>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8B708E"/>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8B708E"/>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B708E"/>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708E"/>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708E"/>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8B708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ascii="Arial" w:eastAsiaTheme="minorEastAsia" w:hAnsi="Arial"/>
      <w:color w:val="5A5A5A" w:themeColor="text1" w:themeTint="A5"/>
      <w:spacing w:val="15"/>
      <w:sz w:val="24"/>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8B708E"/>
    <w:pPr>
      <w:numPr>
        <w:numId w:val="0"/>
      </w:numPr>
      <w:outlineLvl w:val="9"/>
    </w:pPr>
    <w:rPr>
      <w:lang w:val="en-US"/>
    </w:rPr>
  </w:style>
  <w:style w:type="paragraph" w:styleId="TOC1">
    <w:name w:val="toc 1"/>
    <w:basedOn w:val="Normal"/>
    <w:next w:val="Normal"/>
    <w:autoRedefine/>
    <w:uiPriority w:val="39"/>
    <w:unhideWhenUsed/>
    <w:rsid w:val="008B708E"/>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331A1E"/>
    <w:pPr>
      <w:spacing w:after="0" w:line="240" w:lineRule="auto"/>
    </w:pPr>
    <w:rPr>
      <w:rFonts w:ascii="Arial" w:hAnsi="Arial"/>
      <w:color w:val="222A35" w:themeColor="text2" w:themeShade="80"/>
      <w:sz w:val="24"/>
    </w:rPr>
  </w:style>
  <w:style w:type="paragraph" w:styleId="NormalWeb">
    <w:name w:val="Normal (Web)"/>
    <w:basedOn w:val="Normal"/>
    <w:uiPriority w:val="99"/>
    <w:unhideWhenUsed/>
    <w:rsid w:val="00B73CAB"/>
    <w:rPr>
      <w:rFonts w:ascii="Times New Roman" w:hAnsi="Times New Roman" w:cs="Times New Roman"/>
      <w:color w:val="auto"/>
      <w:kern w:val="2"/>
      <w:szCs w:val="24"/>
      <w14:ligatures w14:val="standardContextual"/>
    </w:rPr>
  </w:style>
  <w:style w:type="paragraph" w:styleId="FootnoteText">
    <w:name w:val="footnote text"/>
    <w:basedOn w:val="Normal"/>
    <w:link w:val="FootnoteTextChar"/>
    <w:uiPriority w:val="99"/>
    <w:semiHidden/>
    <w:unhideWhenUsed/>
    <w:rsid w:val="000901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1DF"/>
    <w:rPr>
      <w:rFonts w:ascii="Arial" w:hAnsi="Arial"/>
      <w:color w:val="222A35" w:themeColor="text2" w:themeShade="80"/>
      <w:sz w:val="20"/>
      <w:szCs w:val="20"/>
    </w:rPr>
  </w:style>
  <w:style w:type="character" w:styleId="FootnoteReference">
    <w:name w:val="footnote reference"/>
    <w:basedOn w:val="DefaultParagraphFont"/>
    <w:uiPriority w:val="99"/>
    <w:semiHidden/>
    <w:unhideWhenUsed/>
    <w:rsid w:val="000901DF"/>
    <w:rPr>
      <w:vertAlign w:val="superscript"/>
    </w:rPr>
  </w:style>
  <w:style w:type="paragraph" w:styleId="Quote">
    <w:name w:val="Quote"/>
    <w:basedOn w:val="Normal"/>
    <w:next w:val="Normal"/>
    <w:link w:val="QuoteChar"/>
    <w:uiPriority w:val="29"/>
    <w:qFormat/>
    <w:rsid w:val="008B708E"/>
    <w:pPr>
      <w:spacing w:before="160"/>
      <w:jc w:val="center"/>
    </w:pPr>
    <w:rPr>
      <w:i/>
      <w:iCs/>
      <w:color w:val="404040" w:themeColor="text1" w:themeTint="BF"/>
    </w:rPr>
  </w:style>
  <w:style w:type="character" w:customStyle="1" w:styleId="QuoteChar">
    <w:name w:val="Quote Char"/>
    <w:basedOn w:val="DefaultParagraphFont"/>
    <w:link w:val="Quote"/>
    <w:uiPriority w:val="29"/>
    <w:rsid w:val="008B708E"/>
    <w:rPr>
      <w:rFonts w:ascii="Arial" w:hAnsi="Arial"/>
      <w:i/>
      <w:iCs/>
      <w:color w:val="404040" w:themeColor="text1" w:themeTint="BF"/>
      <w:sz w:val="24"/>
    </w:rPr>
  </w:style>
  <w:style w:type="character" w:styleId="IntenseEmphasis">
    <w:name w:val="Intense Emphasis"/>
    <w:basedOn w:val="DefaultParagraphFont"/>
    <w:uiPriority w:val="21"/>
    <w:qFormat/>
    <w:rsid w:val="008B708E"/>
    <w:rPr>
      <w:i/>
      <w:iCs/>
      <w:color w:val="2F5496" w:themeColor="accent1" w:themeShade="BF"/>
    </w:rPr>
  </w:style>
  <w:style w:type="paragraph" w:styleId="IntenseQuote">
    <w:name w:val="Intense Quote"/>
    <w:basedOn w:val="Normal"/>
    <w:next w:val="Normal"/>
    <w:link w:val="IntenseQuoteChar"/>
    <w:uiPriority w:val="30"/>
    <w:qFormat/>
    <w:rsid w:val="008B7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08E"/>
    <w:rPr>
      <w:rFonts w:ascii="Arial" w:hAnsi="Arial"/>
      <w:i/>
      <w:iCs/>
      <w:color w:val="2F5496" w:themeColor="accent1" w:themeShade="BF"/>
      <w:sz w:val="24"/>
    </w:rPr>
  </w:style>
  <w:style w:type="character" w:styleId="IntenseReference">
    <w:name w:val="Intense Reference"/>
    <w:basedOn w:val="DefaultParagraphFont"/>
    <w:uiPriority w:val="32"/>
    <w:qFormat/>
    <w:rsid w:val="008B708E"/>
    <w:rPr>
      <w:b/>
      <w:bCs/>
      <w:smallCaps/>
      <w:color w:val="2F5496" w:themeColor="accent1" w:themeShade="BF"/>
      <w:spacing w:val="5"/>
    </w:rPr>
  </w:style>
  <w:style w:type="character" w:customStyle="1" w:styleId="cf01">
    <w:name w:val="cf01"/>
    <w:basedOn w:val="DefaultParagraphFont"/>
    <w:rsid w:val="0097231C"/>
    <w:rPr>
      <w:rFonts w:ascii="Segoe UI" w:hAnsi="Segoe UI" w:cs="Segoe UI" w:hint="default"/>
      <w:color w:val="222A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29310">
      <w:bodyDiv w:val="1"/>
      <w:marLeft w:val="0"/>
      <w:marRight w:val="0"/>
      <w:marTop w:val="0"/>
      <w:marBottom w:val="0"/>
      <w:divBdr>
        <w:top w:val="none" w:sz="0" w:space="0" w:color="auto"/>
        <w:left w:val="none" w:sz="0" w:space="0" w:color="auto"/>
        <w:bottom w:val="none" w:sz="0" w:space="0" w:color="auto"/>
        <w:right w:val="none" w:sz="0" w:space="0" w:color="auto"/>
      </w:divBdr>
    </w:div>
    <w:div w:id="943414627">
      <w:bodyDiv w:val="1"/>
      <w:marLeft w:val="0"/>
      <w:marRight w:val="0"/>
      <w:marTop w:val="0"/>
      <w:marBottom w:val="0"/>
      <w:divBdr>
        <w:top w:val="none" w:sz="0" w:space="0" w:color="auto"/>
        <w:left w:val="none" w:sz="0" w:space="0" w:color="auto"/>
        <w:bottom w:val="none" w:sz="0" w:space="0" w:color="auto"/>
        <w:right w:val="none" w:sz="0" w:space="0" w:color="auto"/>
      </w:divBdr>
    </w:div>
    <w:div w:id="1118257324">
      <w:bodyDiv w:val="1"/>
      <w:marLeft w:val="0"/>
      <w:marRight w:val="0"/>
      <w:marTop w:val="0"/>
      <w:marBottom w:val="0"/>
      <w:divBdr>
        <w:top w:val="none" w:sz="0" w:space="0" w:color="auto"/>
        <w:left w:val="none" w:sz="0" w:space="0" w:color="auto"/>
        <w:bottom w:val="none" w:sz="0" w:space="0" w:color="auto"/>
        <w:right w:val="none" w:sz="0" w:space="0" w:color="auto"/>
      </w:divBdr>
    </w:div>
    <w:div w:id="16494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cardiffmet.ac.uk/about/policyhub" TargetMode="External"/><Relationship Id="rId26" Type="http://schemas.openxmlformats.org/officeDocument/2006/relationships/hyperlink" Target="https://actearly.uk/" TargetMode="External"/><Relationship Id="rId3" Type="http://schemas.openxmlformats.org/officeDocument/2006/relationships/customXml" Target="../customXml/item3.xml"/><Relationship Id="rId21" Type="http://schemas.openxmlformats.org/officeDocument/2006/relationships/hyperlink" Target="https://www.cardiffmet.ac.uk/about/policyhub/Pages/default.aspx"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outlookuwicac.sharepoint.com/sites/Secretariat" TargetMode="External"/><Relationship Id="rId25" Type="http://schemas.openxmlformats.org/officeDocument/2006/relationships/hyperlink" Target="https://www.cardiffmet.ac.uk/about/policyhub/Pages/default.asp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afeguard@cardiffmet.ac.uk" TargetMode="External"/><Relationship Id="rId20" Type="http://schemas.openxmlformats.org/officeDocument/2006/relationships/hyperlink" Target="https://www.gov.uk/government/publications/prevent-duty-guidance" TargetMode="External"/><Relationship Id="rId29" Type="http://schemas.openxmlformats.org/officeDocument/2006/relationships/hyperlink" Target="https://hwb.gov.wales/keeping-safe-onlin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outlookuwicac.sharepoint.com/sites/Secretariat/SitePages/Compliance/Prevent/Home.aspx"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cardiffmet.ac.uk/about/policies/" TargetMode="External"/><Relationship Id="rId23" Type="http://schemas.openxmlformats.org/officeDocument/2006/relationships/hyperlink" Target="https://www.gov.uk/government/publications/protecting-charities-from-abuse-for-extremist-purposes/chapter-5-protecting-charities-from-abuse-for-extremist-purposes" TargetMode="External"/><Relationship Id="rId28" Type="http://schemas.openxmlformats.org/officeDocument/2006/relationships/hyperlink" Target="https://www.south-wales.police.uk/advice/advice-and-information/t/terrorism-in-the-uk/staying-safe-from-terrorism/" TargetMode="External"/><Relationship Id="rId10" Type="http://schemas.openxmlformats.org/officeDocument/2006/relationships/settings" Target="settings.xml"/><Relationship Id="rId19" Type="http://schemas.openxmlformats.org/officeDocument/2006/relationships/hyperlink" Target="mailto:policies@cardiffmet.ac.uk" TargetMode="External"/><Relationship Id="rId31" Type="http://schemas.openxmlformats.org/officeDocument/2006/relationships/hyperlink" Target="https://homeofficemedia.blog.gov.uk/2024/12/05/prevent-and-channel-factsheet-202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digitalservices.south-wales.police.uk/en/all-wales-partners-prevent-referral-form/" TargetMode="External"/><Relationship Id="rId27" Type="http://schemas.openxmlformats.org/officeDocument/2006/relationships/hyperlink" Target="https://www.counterterrorism.police.uk/what-we-do/counter-terrorism/prevent/" TargetMode="External"/><Relationship Id="rId30" Type="http://schemas.openxmlformats.org/officeDocument/2006/relationships/hyperlink" Target="https://www.support-people-susceptible-to-radicalisation.service.gov.uk/" TargetMode="Externa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D3A1333F3A4346B2C47DC1F8734773" ma:contentTypeVersion="10" ma:contentTypeDescription="Create a new document." ma:contentTypeScope="" ma:versionID="bd3267d62681836969a1b5b845ef75eb">
  <xsd:schema xmlns:xsd="http://www.w3.org/2001/XMLSchema" xmlns:xs="http://www.w3.org/2001/XMLSchema" xmlns:p="http://schemas.microsoft.com/office/2006/metadata/properties" xmlns:ns2="22be8c49-3a84-4e6c-b58b-05132a51bc0a" xmlns:ns3="e5464d54-e4a8-4609-b52b-da8d66daf469" xmlns:ns4="4b1b1af5-7746-4d27-9657-94481b927887" targetNamespace="http://schemas.microsoft.com/office/2006/metadata/properties" ma:root="true" ma:fieldsID="40c5ba794ff271cb0d56db904b43fb55" ns2:_="" ns3:_="" ns4:_="">
    <xsd:import namespace="22be8c49-3a84-4e6c-b58b-05132a51bc0a"/>
    <xsd:import namespace="e5464d54-e4a8-4609-b52b-da8d66daf469"/>
    <xsd:import namespace="4b1b1af5-7746-4d27-9657-94481b927887"/>
    <xsd:element name="properties">
      <xsd:complexType>
        <xsd:sequence>
          <xsd:element name="documentManagement">
            <xsd:complexType>
              <xsd:all>
                <xsd:element ref="ns2:Sensitivity"/>
                <xsd:element ref="ns2:Notes1"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8c49-3a84-4e6c-b58b-05132a51bc0a" elementFormDefault="qualified">
    <xsd:import namespace="http://schemas.microsoft.com/office/2006/documentManagement/types"/>
    <xsd:import namespace="http://schemas.microsoft.com/office/infopath/2007/PartnerControls"/>
    <xsd:element name="Sensitivity" ma:index="8" ma:displayName="Sensitivity" ma:format="Dropdown" ma:internalName="Sensitivity">
      <xsd:simpleType>
        <xsd:restriction base="dms:Choice">
          <xsd:enumeration value="Public"/>
          <xsd:enumeration value="Official - no personal data"/>
          <xsd:enumeration value="Official - personal data"/>
          <xsd:enumeration value="Official - special category data"/>
          <xsd:enumeration value="Official Sensitive - no personal data"/>
          <xsd:enumeration value="Official Sensitive - personal data"/>
          <xsd:enumeration value="Official Sensitive - special category data"/>
          <xsd:enumeration value="Commercially Sensitive"/>
        </xsd:restriction>
      </xsd:simpleType>
    </xsd:element>
    <xsd:element name="Notes1" ma:index="9" nillable="true" ma:displayName="Notes" ma:internalName="Notes1">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464d54-e4a8-4609-b52b-da8d66daf4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b1af5-7746-4d27-9657-94481b9278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22be8c49-3a84-4e6c-b58b-05132a51bc0a">Public</Sensitivity>
    <Notes1 xmlns="22be8c49-3a84-4e6c-b58b-05132a51bc0a">AUD11/06.22-23</Notes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6DD2706612504F83D39C64F14287A4" ma:contentTypeVersion="15" ma:contentTypeDescription="Create a new document." ma:contentTypeScope="" ma:versionID="902255599870de504583bfa9ecfd80f5">
  <xsd:schema xmlns:xsd="http://www.w3.org/2001/XMLSchema" xmlns:xs="http://www.w3.org/2001/XMLSchema" xmlns:p="http://schemas.microsoft.com/office/2006/metadata/properties" xmlns:ns2="f64892bb-846e-491e-935e-f887ccdb15ae" xmlns:ns3="fa081ede-2647-482f-bfd8-7d737a35df17" targetNamespace="http://schemas.microsoft.com/office/2006/metadata/properties" ma:root="true" ma:fieldsID="75edcf726195ac1a625daee97114db7a" ns2:_="" ns3:_="">
    <xsd:import namespace="f64892bb-846e-491e-935e-f887ccdb15ae"/>
    <xsd:import namespace="fa081ede-2647-482f-bfd8-7d737a35df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ateTime" minOccurs="0"/>
                <xsd:element ref="ns2:MediaServiceAutoKeyPoints" minOccurs="0"/>
                <xsd:element ref="ns2:MediaServiceKeyPoints" minOccurs="0"/>
                <xsd:element ref="ns2:Date" minOccurs="0"/>
                <xsd:element ref="ns2:Not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892bb-846e-491e-935e-f887ccdb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eTime" ma:index="14" nillable="true" ma:displayName="Date Time" ma:format="DateOnly" ma:internalName="DateTime">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7" nillable="true" ma:displayName="Date" ma:format="DateOnly" ma:internalName="Date">
      <xsd:simpleType>
        <xsd:restriction base="dms:DateTime"/>
      </xsd:simpleType>
    </xsd:element>
    <xsd:element name="Note" ma:index="18" nillable="true" ma:displayName="Note" ma:format="Dropdown" ma:internalName="Not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81ede-2647-482f-bfd8-7d737a35df1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ate xmlns="f64892bb-846e-491e-935e-f887ccdb15ae" xsi:nil="true"/>
    <DateTime xmlns="f64892bb-846e-491e-935e-f887ccdb15ae" xsi:nil="true"/>
    <Note xmlns="f64892bb-846e-491e-935e-f887ccdb15ae"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2.xml><?xml version="1.0" encoding="utf-8"?>
<ds:datastoreItem xmlns:ds="http://schemas.openxmlformats.org/officeDocument/2006/customXml" ds:itemID="{F99CD323-C31A-4943-9179-01B807ABD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8c49-3a84-4e6c-b58b-05132a51bc0a"/>
    <ds:schemaRef ds:uri="e5464d54-e4a8-4609-b52b-da8d66daf469"/>
    <ds:schemaRef ds:uri="4b1b1af5-7746-4d27-9657-94481b927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36FB0-01CB-4443-87D4-678677EE82F0}">
  <ds:schemaRefs>
    <ds:schemaRef ds:uri="http://schemas.microsoft.com/office/2006/metadata/properties"/>
    <ds:schemaRef ds:uri="http://schemas.microsoft.com/office/infopath/2007/PartnerControls"/>
    <ds:schemaRef ds:uri="22be8c49-3a84-4e6c-b58b-05132a51bc0a"/>
  </ds:schemaRefs>
</ds:datastoreItem>
</file>

<file path=customXml/itemProps4.xml><?xml version="1.0" encoding="utf-8"?>
<ds:datastoreItem xmlns:ds="http://schemas.openxmlformats.org/officeDocument/2006/customXml" ds:itemID="{54D1580D-2595-44C5-ACB2-B41F83BC7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892bb-846e-491e-935e-f887ccdb15ae"/>
    <ds:schemaRef ds:uri="fa081ede-2647-482f-bfd8-7d737a35d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A7E17E-7DE5-49D4-B05D-BC48CE88F3B1}">
  <ds:schemaRefs>
    <ds:schemaRef ds:uri="http://schemas.microsoft.com/sharepoint/v3/contenttype/forms"/>
  </ds:schemaRefs>
</ds:datastoreItem>
</file>

<file path=customXml/itemProps6.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f64892bb-846e-491e-935e-f887ccdb15ae"/>
  </ds:schemaRefs>
</ds:datastoreItem>
</file>

<file path=customXml/itemProps7.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3288</Words>
  <Characters>18746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4</cp:revision>
  <cp:lastPrinted>2025-05-22T11:02:00Z</cp:lastPrinted>
  <dcterms:created xsi:type="dcterms:W3CDTF">2025-11-07T14:00:00Z</dcterms:created>
  <dcterms:modified xsi:type="dcterms:W3CDTF">2026-05-01T13:36:00Z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0x010100736DD2706612504F83D39C64F14287A4</vt:lpwstr>
  </property>
  <property fmtid="{D5CDD505-2E9C-101B-9397-08002B2CF9AE}" pid="3" name="GrammarlyDocumentId">
    <vt:lpwstr>80dd1a33f41f8ae560697be3d9f16aeb5a36fee8d8e1436520935d6b64324b65</vt:lpwstr>
  </property>
  <property fmtid="{D5CDD505-2E9C-101B-9397-08002B2CF9AE}" pid="4" name="Order">
    <vt:r8>35100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