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16F38B73" w:rsidR="00B75892" w:rsidRDefault="00650E93" w:rsidP="0009597B">
      <w:pPr>
        <w:pStyle w:val="Title"/>
        <w:jc w:val="center"/>
      </w:pPr>
      <w:r>
        <w:t>Research Participant Payment Policy</w:t>
      </w:r>
    </w:p>
    <w:p w14:paraId="1DAD50F9" w14:textId="3C00E4E2" w:rsidR="00C05B84" w:rsidRDefault="000F3FF4" w:rsidP="008569CD">
      <w:pPr>
        <w:pStyle w:val="Subtitle"/>
        <w:jc w:val="center"/>
      </w:pPr>
      <w:r>
        <w:t>POLICY COVERSHEET</w:t>
      </w:r>
    </w:p>
    <w:p w14:paraId="5A6DF30A" w14:textId="77777777" w:rsidR="00B7093D" w:rsidRDefault="00B7093D" w:rsidP="00B7093D">
      <w:pPr>
        <w:rPr>
          <w:rFonts w:ascii="Aptos" w:eastAsia="Times New Roman" w:hAnsi="Aptos"/>
          <w:color w:val="000000"/>
          <w:sz w:val="22"/>
        </w:rPr>
      </w:pPr>
      <w:proofErr w:type="spellStart"/>
      <w:r>
        <w:rPr>
          <w:rFonts w:eastAsia="Times New Roman"/>
          <w:b/>
          <w:bCs/>
          <w:color w:val="000000"/>
          <w:sz w:val="22"/>
          <w:shd w:val="clear" w:color="auto" w:fill="FFFFFF"/>
        </w:rPr>
        <w:t>Mae’r</w:t>
      </w:r>
      <w:proofErr w:type="spellEnd"/>
      <w:r>
        <w:rPr>
          <w:rFonts w:eastAsia="Times New Roman"/>
          <w:b/>
          <w:bCs/>
          <w:color w:val="000000"/>
          <w:sz w:val="22"/>
          <w:shd w:val="clear" w:color="auto" w:fill="FFFFFF"/>
        </w:rPr>
        <w:t xml:space="preserve"> </w:t>
      </w:r>
      <w:proofErr w:type="spellStart"/>
      <w:r>
        <w:rPr>
          <w:rFonts w:eastAsia="Times New Roman"/>
          <w:b/>
          <w:bCs/>
          <w:color w:val="000000"/>
          <w:sz w:val="22"/>
          <w:shd w:val="clear" w:color="auto" w:fill="FFFFFF"/>
        </w:rPr>
        <w:t>ddogfen</w:t>
      </w:r>
      <w:proofErr w:type="spellEnd"/>
      <w:r>
        <w:rPr>
          <w:rFonts w:eastAsia="Times New Roman"/>
          <w:b/>
          <w:bCs/>
          <w:color w:val="000000"/>
          <w:sz w:val="22"/>
          <w:shd w:val="clear" w:color="auto" w:fill="FFFFFF"/>
        </w:rPr>
        <w:t xml:space="preserve"> hon </w:t>
      </w:r>
      <w:proofErr w:type="spellStart"/>
      <w:r>
        <w:rPr>
          <w:rFonts w:eastAsia="Times New Roman"/>
          <w:b/>
          <w:bCs/>
          <w:color w:val="000000"/>
          <w:sz w:val="22"/>
          <w:shd w:val="clear" w:color="auto" w:fill="FFFFFF"/>
        </w:rPr>
        <w:t>hefyd</w:t>
      </w:r>
      <w:proofErr w:type="spellEnd"/>
      <w:r>
        <w:rPr>
          <w:rFonts w:eastAsia="Times New Roman"/>
          <w:b/>
          <w:bCs/>
          <w:color w:val="000000"/>
          <w:sz w:val="22"/>
          <w:shd w:val="clear" w:color="auto" w:fill="FFFFFF"/>
        </w:rPr>
        <w:t xml:space="preserve"> </w:t>
      </w:r>
      <w:proofErr w:type="spellStart"/>
      <w:r>
        <w:rPr>
          <w:rFonts w:eastAsia="Times New Roman"/>
          <w:b/>
          <w:bCs/>
          <w:color w:val="000000"/>
          <w:sz w:val="22"/>
          <w:shd w:val="clear" w:color="auto" w:fill="FFFFFF"/>
        </w:rPr>
        <w:t>ar</w:t>
      </w:r>
      <w:proofErr w:type="spellEnd"/>
      <w:r>
        <w:rPr>
          <w:rFonts w:eastAsia="Times New Roman"/>
          <w:b/>
          <w:bCs/>
          <w:color w:val="000000"/>
          <w:sz w:val="22"/>
          <w:shd w:val="clear" w:color="auto" w:fill="FFFFFF"/>
        </w:rPr>
        <w:t xml:space="preserve"> </w:t>
      </w:r>
      <w:proofErr w:type="spellStart"/>
      <w:r>
        <w:rPr>
          <w:rFonts w:eastAsia="Times New Roman"/>
          <w:b/>
          <w:bCs/>
          <w:color w:val="000000"/>
          <w:sz w:val="22"/>
          <w:shd w:val="clear" w:color="auto" w:fill="FFFFFF"/>
        </w:rPr>
        <w:t>gael</w:t>
      </w:r>
      <w:proofErr w:type="spellEnd"/>
      <w:r>
        <w:rPr>
          <w:rFonts w:eastAsia="Times New Roman"/>
          <w:b/>
          <w:bCs/>
          <w:color w:val="000000"/>
          <w:sz w:val="22"/>
          <w:shd w:val="clear" w:color="auto" w:fill="FFFFFF"/>
        </w:rPr>
        <w:t xml:space="preserve"> </w:t>
      </w:r>
      <w:proofErr w:type="spellStart"/>
      <w:r>
        <w:rPr>
          <w:rFonts w:eastAsia="Times New Roman"/>
          <w:b/>
          <w:bCs/>
          <w:color w:val="000000"/>
          <w:sz w:val="22"/>
          <w:shd w:val="clear" w:color="auto" w:fill="FFFFFF"/>
        </w:rPr>
        <w:t>yn</w:t>
      </w:r>
      <w:proofErr w:type="spellEnd"/>
      <w:r>
        <w:rPr>
          <w:rFonts w:eastAsia="Times New Roman"/>
          <w:b/>
          <w:bCs/>
          <w:color w:val="000000"/>
          <w:sz w:val="22"/>
          <w:shd w:val="clear" w:color="auto" w:fill="FFFFFF"/>
        </w:rPr>
        <w:t xml:space="preserve"> </w:t>
      </w:r>
      <w:proofErr w:type="spellStart"/>
      <w:r>
        <w:rPr>
          <w:rFonts w:eastAsia="Times New Roman"/>
          <w:b/>
          <w:bCs/>
          <w:color w:val="000000"/>
          <w:sz w:val="22"/>
          <w:shd w:val="clear" w:color="auto" w:fill="FFFFFF"/>
        </w:rPr>
        <w:t>Gymraeg</w:t>
      </w:r>
      <w:proofErr w:type="spellEnd"/>
      <w:r>
        <w:rPr>
          <w:rFonts w:eastAsia="Times New Roman"/>
          <w:b/>
          <w:bCs/>
          <w:color w:val="000000"/>
          <w:sz w:val="22"/>
          <w:shd w:val="clear" w:color="auto" w:fill="FFFFFF"/>
        </w:rPr>
        <w:t xml:space="preserve"> / This document is also available in Welsh</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3FB0A96C" w:rsidR="005D0B18" w:rsidRPr="00D9301C" w:rsidRDefault="00DA1482" w:rsidP="00E62C64">
            <w:pPr>
              <w:rPr>
                <w:rStyle w:val="SubtleEmphasis"/>
              </w:rPr>
            </w:pPr>
            <w:r>
              <w:rPr>
                <w:rStyle w:val="SubtleEmphasis"/>
              </w:rPr>
              <w:t>Research Participant Payment 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7EBCEE0F" w:rsidR="00424E11" w:rsidRPr="00D9301C" w:rsidRDefault="00763A6B" w:rsidP="00E62C64">
            <w:pPr>
              <w:rPr>
                <w:rStyle w:val="SubtleEmphasis"/>
              </w:rPr>
            </w:pPr>
            <w:r>
              <w:rPr>
                <w:rStyle w:val="SubtleEmphasis"/>
              </w:rPr>
              <w:t>June 2026</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10E30423" w:rsidR="00424E11" w:rsidRPr="00D9301C" w:rsidRDefault="00DA1482" w:rsidP="00E62C64">
            <w:pPr>
              <w:rPr>
                <w:rStyle w:val="SubtleEmphasis"/>
              </w:rPr>
            </w:pPr>
            <w:r>
              <w:rPr>
                <w:rStyle w:val="SubtleEmphasis"/>
              </w:rPr>
              <w:t>R&amp;I Committee</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416D2C8E" w:rsidR="00424E11" w:rsidRPr="00D9301C" w:rsidRDefault="00763A6B" w:rsidP="00E62C64">
            <w:pPr>
              <w:rPr>
                <w:rStyle w:val="SubtleEmphasis"/>
              </w:rPr>
            </w:pPr>
            <w:r>
              <w:rPr>
                <w:rStyle w:val="SubtleEmphasis"/>
              </w:rPr>
              <w:t>2</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6FF3FCDD" w:rsidR="00424E11" w:rsidRPr="00D9301C" w:rsidRDefault="00424E11" w:rsidP="00E62C64">
            <w:pPr>
              <w:rPr>
                <w:rStyle w:val="SubtleEmphasis"/>
              </w:rPr>
            </w:pP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74F0AA2C" w:rsidR="00424E11" w:rsidRPr="00D9301C" w:rsidRDefault="00091FC0" w:rsidP="00E62C64">
            <w:pPr>
              <w:rPr>
                <w:rStyle w:val="SubtleEmphasis"/>
              </w:rPr>
            </w:pPr>
            <w:r>
              <w:rPr>
                <w:rStyle w:val="SubtleEmphasis"/>
              </w:rPr>
              <w:t>April 2028</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F09CB51" w14:textId="478E9631" w:rsidR="00424E11" w:rsidRPr="00D9301C" w:rsidRDefault="00817A93" w:rsidP="00D9301C">
            <w:pPr>
              <w:rPr>
                <w:rStyle w:val="SubtleEmphasis"/>
              </w:rPr>
            </w:pPr>
            <w:r>
              <w:rPr>
                <w:rStyle w:val="SubtleEmphasis"/>
              </w:rPr>
              <w:t>This policy will apply to all research at Cardiff Met</w:t>
            </w: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0EA1476B" w14:textId="77777777" w:rsidR="00424E11" w:rsidRDefault="00817A93" w:rsidP="00E62C64">
            <w:pPr>
              <w:rPr>
                <w:rStyle w:val="SubtleEmphasis"/>
              </w:rPr>
            </w:pPr>
            <w:r>
              <w:rPr>
                <w:rStyle w:val="SubtleEmphasis"/>
              </w:rPr>
              <w:t>Financial Regulations</w:t>
            </w:r>
          </w:p>
          <w:p w14:paraId="5482948D" w14:textId="0C82ED91" w:rsidR="00817A93" w:rsidRPr="00D9301C" w:rsidRDefault="00817A93" w:rsidP="00E62C64">
            <w:pPr>
              <w:rPr>
                <w:rStyle w:val="SubtleEmphasis"/>
              </w:rPr>
            </w:pPr>
            <w:r>
              <w:rPr>
                <w:rStyle w:val="SubtleEmphasis"/>
              </w:rPr>
              <w:t>Research Ethics Guidance</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55149244" w:rsidR="00424E11" w:rsidRPr="00D9301C" w:rsidRDefault="00763A6B" w:rsidP="00E62C64">
            <w:pPr>
              <w:rPr>
                <w:rStyle w:val="SubtleEmphasis"/>
              </w:rPr>
            </w:pPr>
            <w:r>
              <w:rPr>
                <w:rStyle w:val="SubtleEmphasis"/>
              </w:rPr>
              <w:t>June 2026</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3DB32CCB" w:rsidR="00424E11" w:rsidRPr="00D9301C" w:rsidRDefault="00862D55" w:rsidP="00E62C64">
            <w:pPr>
              <w:rPr>
                <w:rStyle w:val="SubtleEmphasis"/>
              </w:rPr>
            </w:pPr>
            <w:r>
              <w:rPr>
                <w:rStyle w:val="SubtleEmphasis"/>
              </w:rPr>
              <w:t>Head of Research</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34C02C47" w:rsidR="00424E11" w:rsidRPr="00D9301C" w:rsidRDefault="00862D55" w:rsidP="00E62C64">
            <w:pPr>
              <w:rPr>
                <w:rStyle w:val="SubtleEmphasis"/>
              </w:rPr>
            </w:pPr>
            <w:r>
              <w:rPr>
                <w:rStyle w:val="SubtleEmphasis"/>
              </w:rPr>
              <w:t>R&amp;I Services and Finance</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69E99347" w:rsidR="00424E11" w:rsidRPr="00D9301C" w:rsidRDefault="00B9504E" w:rsidP="00E62C64">
            <w:pPr>
              <w:rPr>
                <w:rStyle w:val="SubtleEmphasis"/>
              </w:rPr>
            </w:pPr>
            <w:r>
              <w:rPr>
                <w:rStyle w:val="SubtleEmphasis"/>
              </w:rPr>
              <w:t>kajefferies</w:t>
            </w:r>
            <w:r w:rsidR="004F3F03" w:rsidRPr="00D9301C">
              <w:rPr>
                <w:rStyle w:val="SubtleEmphasis"/>
              </w:rPr>
              <w:t>@cardiffmet.ac.uk</w:t>
            </w:r>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EC2C8F">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3" w:name="_Toc73711327"/>
            <w:bookmarkStart w:id="4" w:name="_Toc73711702"/>
            <w:bookmarkStart w:id="5"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237813B9" w:rsidR="00376449" w:rsidRPr="00CD441C" w:rsidRDefault="00C536D4" w:rsidP="00376449">
            <w:pPr>
              <w:rPr>
                <w:rStyle w:val="SubtleEmphasis"/>
              </w:rPr>
            </w:pPr>
            <w:r>
              <w:rPr>
                <w:rStyle w:val="SubtleEmphasis"/>
              </w:rPr>
              <w:t>April 2025</w:t>
            </w:r>
          </w:p>
        </w:tc>
        <w:tc>
          <w:tcPr>
            <w:tcW w:w="3006" w:type="dxa"/>
          </w:tcPr>
          <w:p w14:paraId="619AEAD7" w14:textId="3F780C2A" w:rsidR="00376449" w:rsidRPr="00CD441C" w:rsidRDefault="00CD441C" w:rsidP="00376449">
            <w:pPr>
              <w:rPr>
                <w:rStyle w:val="SubtleEmphasis"/>
              </w:rPr>
            </w:pPr>
            <w:r>
              <w:rPr>
                <w:rStyle w:val="SubtleEmphasis"/>
              </w:rPr>
              <w:t>First version</w:t>
            </w:r>
          </w:p>
        </w:tc>
      </w:tr>
    </w:tbl>
    <w:p w14:paraId="12A0BC07" w14:textId="234AE89E" w:rsidR="00084894" w:rsidRPr="00376449" w:rsidRDefault="00084894" w:rsidP="00376449">
      <w:pPr>
        <w:rPr>
          <w:szCs w:val="24"/>
        </w:rPr>
      </w:pPr>
    </w:p>
    <w:bookmarkEnd w:id="3"/>
    <w:bookmarkEnd w:id="4"/>
    <w:bookmarkEnd w:id="5"/>
    <w:p w14:paraId="2FD28679" w14:textId="77777777" w:rsidR="00351D20" w:rsidRDefault="00351D20" w:rsidP="00351D20">
      <w:pPr>
        <w:pStyle w:val="Heading1"/>
        <w:numPr>
          <w:ilvl w:val="0"/>
          <w:numId w:val="0"/>
        </w:numPr>
        <w:ind w:left="431" w:hanging="431"/>
      </w:pPr>
      <w:r>
        <w:t>Policy Hub</w:t>
      </w:r>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w:t>
        </w:r>
        <w:proofErr w:type="spellStart"/>
        <w:r>
          <w:rPr>
            <w:rStyle w:val="Hyperlink"/>
          </w:rPr>
          <w:t>policyhub</w:t>
        </w:r>
        <w:proofErr w:type="spellEnd"/>
      </w:hyperlink>
      <w:r w:rsidR="00351D20">
        <w:t>; or</w:t>
      </w:r>
    </w:p>
    <w:p w14:paraId="5024C122" w14:textId="21C389AE" w:rsidR="00B65212" w:rsidRDefault="00351D20" w:rsidP="00EC2C8F">
      <w:pPr>
        <w:pStyle w:val="ActionPoints"/>
      </w:pPr>
      <w:r>
        <w:t xml:space="preserve">Contact </w:t>
      </w:r>
      <w:hyperlink r:id="rId14" w:history="1">
        <w:r w:rsidRPr="006F0BC0">
          <w:rPr>
            <w:rStyle w:val="Hyperlink"/>
          </w:rPr>
          <w:t>policies@cardiffmet.ac.uk</w:t>
        </w:r>
      </w:hyperlink>
      <w:r w:rsidR="00260329">
        <w:t>.</w:t>
      </w:r>
      <w:r>
        <w:t xml:space="preserve"> </w:t>
      </w:r>
      <w:r w:rsidR="00B65212">
        <w:br w:type="page"/>
      </w:r>
    </w:p>
    <w:p w14:paraId="17603FCF" w14:textId="081739B7" w:rsidR="00C30F00" w:rsidRDefault="00EA69F4" w:rsidP="00D57FF1">
      <w:pPr>
        <w:pStyle w:val="Heading1"/>
        <w:numPr>
          <w:ilvl w:val="0"/>
          <w:numId w:val="27"/>
        </w:numPr>
      </w:pPr>
      <w:bookmarkStart w:id="6" w:name="_Toc77936658"/>
      <w:r>
        <w:lastRenderedPageBreak/>
        <w:t>Introduction</w:t>
      </w:r>
      <w:bookmarkEnd w:id="6"/>
    </w:p>
    <w:p w14:paraId="486840A3" w14:textId="0B00B30A" w:rsidR="009359B4" w:rsidRDefault="001B1F98" w:rsidP="00176F33">
      <w:pPr>
        <w:pStyle w:val="Heading2"/>
        <w:spacing w:before="120" w:after="120"/>
      </w:pPr>
      <w:r>
        <w:t xml:space="preserve">The University recognises the importance of the involvement of voluntary </w:t>
      </w:r>
      <w:r w:rsidR="00986CD7">
        <w:t>participants</w:t>
      </w:r>
      <w:r>
        <w:t xml:space="preserve"> in the production of high-qu</w:t>
      </w:r>
      <w:r w:rsidR="00986CD7">
        <w:t>ality research and that such volunteers should not be financially disadvantaged as an outcome of their participation.</w:t>
      </w:r>
    </w:p>
    <w:p w14:paraId="48F7BFFC" w14:textId="1135734D" w:rsidR="009359B4" w:rsidRPr="00FC6B37" w:rsidRDefault="00FC6B37" w:rsidP="00176F33">
      <w:pPr>
        <w:pStyle w:val="Heading2"/>
        <w:spacing w:before="120" w:after="120"/>
      </w:pPr>
      <w:r w:rsidRPr="00FC6B37">
        <w:t xml:space="preserve">The </w:t>
      </w:r>
      <w:r>
        <w:t xml:space="preserve">purpose of this policy is to provide guidance on reasonable levels of payment for participation in </w:t>
      </w:r>
      <w:r w:rsidR="00095C63">
        <w:t>activities where payment falls within the HMRC definitions of “research volunteer”, and to set out the procedures for the payment of such individual</w:t>
      </w:r>
      <w:r w:rsidR="00974A81">
        <w:t xml:space="preserve">s.  It should be considered in line with </w:t>
      </w:r>
      <w:hyperlink r:id="rId15" w:history="1">
        <w:r w:rsidR="00974A81" w:rsidRPr="00BC5DC7">
          <w:rPr>
            <w:rStyle w:val="Hyperlink"/>
          </w:rPr>
          <w:t>H</w:t>
        </w:r>
        <w:r w:rsidR="006D411A" w:rsidRPr="00BC5DC7">
          <w:rPr>
            <w:rStyle w:val="Hyperlink"/>
          </w:rPr>
          <w:t>M</w:t>
        </w:r>
        <w:r w:rsidR="00974A81" w:rsidRPr="00BC5DC7">
          <w:rPr>
            <w:rStyle w:val="Hyperlink"/>
          </w:rPr>
          <w:t>RC</w:t>
        </w:r>
      </w:hyperlink>
      <w:r w:rsidR="00974A81">
        <w:t xml:space="preserve"> requirements and, where appropriate, the guidance from relevant funding organisations. </w:t>
      </w:r>
    </w:p>
    <w:p w14:paraId="1971254E" w14:textId="4746C0EF" w:rsidR="00D973DB" w:rsidRDefault="00BC5DC7" w:rsidP="00176F33">
      <w:pPr>
        <w:pStyle w:val="Heading1"/>
        <w:spacing w:before="120" w:after="120"/>
      </w:pPr>
      <w:r>
        <w:t>Scope</w:t>
      </w:r>
    </w:p>
    <w:p w14:paraId="6426D63C" w14:textId="00845A2E" w:rsidR="00D973DB" w:rsidRDefault="00541AC0" w:rsidP="00176F33">
      <w:pPr>
        <w:pStyle w:val="Heading2"/>
        <w:spacing w:before="120" w:after="120"/>
      </w:pPr>
      <w:r>
        <w:t>This policy applies to all research undertaken by or on behalf of the university</w:t>
      </w:r>
      <w:r w:rsidR="00172630">
        <w:t>.</w:t>
      </w:r>
    </w:p>
    <w:p w14:paraId="3F509F98" w14:textId="217982B0" w:rsidR="00176F33" w:rsidRDefault="001F1B04" w:rsidP="00A2384D">
      <w:pPr>
        <w:pStyle w:val="Heading2"/>
        <w:spacing w:before="120" w:after="120"/>
      </w:pPr>
      <w:r>
        <w:t>The policy is primarily concerned with the payment of individuals defined by HMRC as “research volunteers, lay participants and participants in clinical trials”</w:t>
      </w:r>
      <w:r w:rsidR="00D82026">
        <w:t>, who fall into two broad groups:</w:t>
      </w:r>
      <w:r w:rsidR="00D82026">
        <w:br/>
      </w:r>
      <w:r w:rsidR="00D82026">
        <w:br/>
      </w:r>
      <w:r w:rsidR="0055484A" w:rsidRPr="00D63360">
        <w:rPr>
          <w:b/>
          <w:bCs/>
          <w:u w:val="single"/>
        </w:rPr>
        <w:t>Public Patient Involvement (PPI)</w:t>
      </w:r>
      <w:r w:rsidR="0055484A">
        <w:t xml:space="preserve"> which is research that is done “with” or “by” the public and not “to”, </w:t>
      </w:r>
      <w:r w:rsidR="00CE687C">
        <w:t>“for” or “about” them.  PPIs are often used in health an</w:t>
      </w:r>
      <w:r w:rsidR="00F35689">
        <w:t>d</w:t>
      </w:r>
      <w:r w:rsidR="00CE687C">
        <w:t xml:space="preserve"> social care research to provide “lived experience” of the research area</w:t>
      </w:r>
      <w:r w:rsidR="00D5563F">
        <w:t xml:space="preserve">.  PPIs help to ensure that the research is </w:t>
      </w:r>
      <w:r w:rsidR="00F35689">
        <w:t>m</w:t>
      </w:r>
      <w:r w:rsidR="00D5563F">
        <w:t>ore relevant to participants, designed in an acceptable way, understandable and is communicated app</w:t>
      </w:r>
      <w:r w:rsidR="00D63360">
        <w:t>ropriately.</w:t>
      </w:r>
      <w:r w:rsidR="00AA367D">
        <w:br/>
      </w:r>
      <w:r w:rsidR="00AA367D">
        <w:br/>
        <w:t>and</w:t>
      </w:r>
      <w:r w:rsidR="00AA367D">
        <w:br/>
      </w:r>
      <w:r w:rsidR="00AA367D">
        <w:br/>
      </w:r>
      <w:r w:rsidR="00AA367D" w:rsidRPr="003B2B98">
        <w:rPr>
          <w:b/>
          <w:bCs/>
          <w:u w:val="single"/>
        </w:rPr>
        <w:t>Research volunteers</w:t>
      </w:r>
      <w:r w:rsidR="00CA08C7">
        <w:t xml:space="preserve"> who take part in tests, submit measurements or are interviewed as part of the research process</w:t>
      </w:r>
      <w:r w:rsidR="00D85541">
        <w:t>.  Where payment i</w:t>
      </w:r>
      <w:r w:rsidR="00EC0CC7">
        <w:t>s</w:t>
      </w:r>
      <w:r w:rsidR="00D85541">
        <w:t xml:space="preserve"> made, it is normally</w:t>
      </w:r>
      <w:r w:rsidR="00EC0CC7">
        <w:t xml:space="preserve"> a</w:t>
      </w:r>
      <w:r w:rsidR="007F3FEB">
        <w:t xml:space="preserve"> small sum to cover </w:t>
      </w:r>
      <w:r w:rsidR="008246B0">
        <w:t xml:space="preserve">out of pocket </w:t>
      </w:r>
      <w:r w:rsidR="007F3FEB">
        <w:t>expenses</w:t>
      </w:r>
      <w:r w:rsidR="008246B0">
        <w:t xml:space="preserve"> and</w:t>
      </w:r>
      <w:r w:rsidR="00DE5856">
        <w:t>/or</w:t>
      </w:r>
      <w:r w:rsidR="00C43BF6">
        <w:t xml:space="preserve"> </w:t>
      </w:r>
      <w:r w:rsidR="00EC0CC7">
        <w:t xml:space="preserve">as </w:t>
      </w:r>
      <w:r w:rsidR="00C43BF6">
        <w:t>compensation for any time spent.</w:t>
      </w:r>
    </w:p>
    <w:p w14:paraId="659A6B3A" w14:textId="36BDFDFC" w:rsidR="00A2384D" w:rsidRDefault="002859B7" w:rsidP="00176F33">
      <w:pPr>
        <w:ind w:left="567" w:hanging="567"/>
      </w:pPr>
      <w:r>
        <w:t>2.3</w:t>
      </w:r>
      <w:r>
        <w:tab/>
        <w:t>Research participants falling under either of these categories may be staff of the University although their participation in the re</w:t>
      </w:r>
      <w:r w:rsidR="00665B67">
        <w:t>search will not be part of their duties of employment and will be undertaken in their own time, with no obligation to take part.</w:t>
      </w:r>
    </w:p>
    <w:p w14:paraId="1DEE0750" w14:textId="5F871C5E" w:rsidR="00172630" w:rsidRPr="00172630" w:rsidRDefault="00B3392A" w:rsidP="00C407FE">
      <w:pPr>
        <w:ind w:left="567" w:hanging="567"/>
      </w:pPr>
      <w:r>
        <w:t>2.4</w:t>
      </w:r>
      <w:r>
        <w:tab/>
        <w:t>Participation in and contribution to research may be one-off or repeating</w:t>
      </w:r>
      <w:r w:rsidR="00F96907">
        <w:t xml:space="preserve"> occasions although, if an individual engages with Cardiff Met in this regard on a regular basis, Principal Investigators (PIs) must ensure that no employment relationship is established for the “volunteering” activities.</w:t>
      </w:r>
      <w:r w:rsidR="00A549C3">
        <w:t xml:space="preserve"> Your HR Business Partner should be consulted at the earliest possible opportunity if any individual has, or is predicted to, participate on regular basis.</w:t>
      </w:r>
    </w:p>
    <w:p w14:paraId="3FEA8884" w14:textId="3D3BE52B" w:rsidR="003A7850" w:rsidRDefault="00535442" w:rsidP="00176F33">
      <w:pPr>
        <w:pStyle w:val="Heading1"/>
        <w:spacing w:before="120" w:after="120"/>
      </w:pPr>
      <w:bookmarkStart w:id="7" w:name="_Toc77936660"/>
      <w:r>
        <w:t>Guiding Principles</w:t>
      </w:r>
      <w:bookmarkEnd w:id="7"/>
    </w:p>
    <w:p w14:paraId="10AD18A4" w14:textId="114CE149" w:rsidR="008D23D2" w:rsidRDefault="00160A24" w:rsidP="00176F33">
      <w:pPr>
        <w:pStyle w:val="Heading2"/>
        <w:spacing w:before="120" w:after="120"/>
      </w:pPr>
      <w:r>
        <w:t>It is expected that</w:t>
      </w:r>
      <w:r w:rsidR="004E2099">
        <w:t xml:space="preserve"> </w:t>
      </w:r>
      <w:r>
        <w:t>the</w:t>
      </w:r>
      <w:r w:rsidR="00F613FC">
        <w:t xml:space="preserve"> thre</w:t>
      </w:r>
      <w:r w:rsidR="00E83B81">
        <w:t>sholds for payment provided in this policy</w:t>
      </w:r>
      <w:r w:rsidR="005B1AB5">
        <w:t xml:space="preserve"> will be applied </w:t>
      </w:r>
      <w:r>
        <w:t xml:space="preserve">in </w:t>
      </w:r>
      <w:proofErr w:type="gramStart"/>
      <w:r w:rsidR="000F3B9E">
        <w:t>the vast majority of</w:t>
      </w:r>
      <w:proofErr w:type="gramEnd"/>
      <w:r w:rsidR="000F3B9E">
        <w:t xml:space="preserve"> </w:t>
      </w:r>
      <w:r>
        <w:t>cases</w:t>
      </w:r>
      <w:r w:rsidR="001646F5">
        <w:t>.  It is r</w:t>
      </w:r>
      <w:r w:rsidR="007E0382">
        <w:t xml:space="preserve">ecognised </w:t>
      </w:r>
      <w:r w:rsidR="001646F5">
        <w:t xml:space="preserve">however, </w:t>
      </w:r>
      <w:bookmarkStart w:id="8" w:name="_Hlk177716317"/>
      <w:r w:rsidR="007E0382">
        <w:t xml:space="preserve">that there may be </w:t>
      </w:r>
      <w:r w:rsidR="001646F5">
        <w:t xml:space="preserve">instances </w:t>
      </w:r>
      <w:r w:rsidR="007E0382">
        <w:t xml:space="preserve">where </w:t>
      </w:r>
      <w:r w:rsidR="00B81FBC">
        <w:t>they</w:t>
      </w:r>
      <w:r w:rsidR="00034413">
        <w:t xml:space="preserve"> are deemed insufficient</w:t>
      </w:r>
      <w:r w:rsidR="0089395C">
        <w:t xml:space="preserve"> for the </w:t>
      </w:r>
      <w:r w:rsidR="005E1A8F">
        <w:t xml:space="preserve">type of role to be </w:t>
      </w:r>
      <w:r w:rsidR="007E0382">
        <w:lastRenderedPageBreak/>
        <w:t>undertaken</w:t>
      </w:r>
      <w:r w:rsidR="00A91A49">
        <w:t xml:space="preserve"> and that</w:t>
      </w:r>
      <w:r w:rsidR="002F5DB4">
        <w:t xml:space="preserve"> </w:t>
      </w:r>
      <w:r w:rsidR="00A91A49">
        <w:t xml:space="preserve">higher </w:t>
      </w:r>
      <w:r w:rsidR="00323D40">
        <w:t xml:space="preserve">levels of payment may </w:t>
      </w:r>
      <w:r w:rsidR="002F5DB4">
        <w:t xml:space="preserve">therefore </w:t>
      </w:r>
      <w:r w:rsidR="00323D40">
        <w:t>be required</w:t>
      </w:r>
      <w:bookmarkEnd w:id="8"/>
      <w:r w:rsidR="00323D40">
        <w:t>.</w:t>
      </w:r>
      <w:r w:rsidR="002F5DB4">
        <w:t xml:space="preserve">  </w:t>
      </w:r>
      <w:r w:rsidR="00831EE0">
        <w:t>In such cases,</w:t>
      </w:r>
      <w:r w:rsidR="005A48FC">
        <w:t xml:space="preserve"> </w:t>
      </w:r>
      <w:r w:rsidR="00390464" w:rsidRPr="00B86BF7">
        <w:t>the PI should contac</w:t>
      </w:r>
      <w:r w:rsidR="00E95715" w:rsidRPr="00B86BF7">
        <w:t xml:space="preserve">t the </w:t>
      </w:r>
      <w:r w:rsidR="00633255" w:rsidRPr="00763A6B">
        <w:t>Management Accountant</w:t>
      </w:r>
      <w:r w:rsidR="00E95715" w:rsidRPr="00763A6B">
        <w:t xml:space="preserve"> to</w:t>
      </w:r>
      <w:r w:rsidR="00E95715">
        <w:t xml:space="preserve"> discuss next steps as it is likely that </w:t>
      </w:r>
      <w:r w:rsidR="005A48FC">
        <w:t>higher payment thresholds</w:t>
      </w:r>
      <w:r w:rsidR="00F16325">
        <w:t xml:space="preserve"> may change the nature of the relationship </w:t>
      </w:r>
      <w:r w:rsidR="00D020DD">
        <w:t xml:space="preserve">of the participant </w:t>
      </w:r>
      <w:r w:rsidR="00F16325">
        <w:t xml:space="preserve">with the university and </w:t>
      </w:r>
      <w:r w:rsidR="000F3B9E">
        <w:t>result</w:t>
      </w:r>
      <w:r w:rsidR="00F16325">
        <w:t xml:space="preserve"> in the status of “worker” being created.</w:t>
      </w:r>
      <w:r w:rsidR="000F3B9E">
        <w:t xml:space="preserve">  </w:t>
      </w:r>
    </w:p>
    <w:p w14:paraId="2B64AB54" w14:textId="1C4E8FBB" w:rsidR="00F23479" w:rsidRDefault="009E107B" w:rsidP="008B027B">
      <w:pPr>
        <w:pStyle w:val="Heading2"/>
        <w:spacing w:before="120" w:after="120"/>
      </w:pPr>
      <w:r>
        <w:t>Activities are undertaken on a voluntary basis</w:t>
      </w:r>
      <w:r w:rsidR="0035109F">
        <w:t xml:space="preserve"> and will be defined prior to involvement</w:t>
      </w:r>
      <w:r w:rsidR="00B97FC0">
        <w:rPr>
          <w:rStyle w:val="FootnoteReference"/>
        </w:rPr>
        <w:footnoteReference w:id="1"/>
      </w:r>
      <w:r w:rsidR="00B97FC0">
        <w:t>.</w:t>
      </w:r>
      <w:r w:rsidR="00F97FD4">
        <w:t xml:space="preserve">  </w:t>
      </w:r>
      <w:r w:rsidR="003D457A">
        <w:t>Researchers</w:t>
      </w:r>
      <w:r w:rsidR="00264556">
        <w:t xml:space="preserve"> are required to </w:t>
      </w:r>
      <w:r w:rsidR="003D457A">
        <w:t>follow</w:t>
      </w:r>
      <w:r w:rsidR="00264556">
        <w:t xml:space="preserve"> Cardiff Met ethics approval procedures which include guidance for the gaining of informed consent</w:t>
      </w:r>
      <w:r w:rsidR="003D457A">
        <w:t xml:space="preserve">.  That is </w:t>
      </w:r>
      <w:r w:rsidR="002926C4">
        <w:t>ensuring that potential participants in research have the right to choose if they will participate and are given the opportunity to withdraw at any time.</w:t>
      </w:r>
    </w:p>
    <w:p w14:paraId="3826B2DF" w14:textId="5D3B088C" w:rsidR="008B027B" w:rsidRPr="00F23479" w:rsidRDefault="008B027B" w:rsidP="00F23479">
      <w:pPr>
        <w:ind w:left="567" w:hanging="567"/>
      </w:pPr>
      <w:r>
        <w:t>3.</w:t>
      </w:r>
      <w:r w:rsidR="00A53F94">
        <w:t>3</w:t>
      </w:r>
      <w:r>
        <w:tab/>
      </w:r>
      <w:r w:rsidR="00DA0EB1">
        <w:t>When considering the ethics of their project, researchers must recognise the potential for perverse incentives arising from payment</w:t>
      </w:r>
      <w:r w:rsidR="00A9710F">
        <w:t>.</w:t>
      </w:r>
    </w:p>
    <w:p w14:paraId="29FCDC17" w14:textId="46E18275" w:rsidR="003A7850" w:rsidRDefault="008A4EE4" w:rsidP="00176F33">
      <w:pPr>
        <w:pStyle w:val="Heading1"/>
        <w:spacing w:before="120" w:after="120"/>
      </w:pPr>
      <w:bookmarkStart w:id="9" w:name="_Toc77936661"/>
      <w:r>
        <w:t>Thresholds</w:t>
      </w:r>
      <w:r w:rsidR="00A53F94">
        <w:t xml:space="preserve"> for </w:t>
      </w:r>
      <w:r>
        <w:t>payment</w:t>
      </w:r>
      <w:bookmarkEnd w:id="9"/>
    </w:p>
    <w:p w14:paraId="79B89527" w14:textId="7006C115" w:rsidR="008627B3" w:rsidRDefault="00197F0D" w:rsidP="00176F33">
      <w:pPr>
        <w:pStyle w:val="Heading2"/>
        <w:spacing w:before="120" w:after="120"/>
      </w:pPr>
      <w:r>
        <w:t>Any payment made to a research participant</w:t>
      </w:r>
      <w:r w:rsidR="00F31A75">
        <w:t xml:space="preserve"> should </w:t>
      </w:r>
      <w:r w:rsidR="005301F9">
        <w:t xml:space="preserve">be proportionate to the task undertaken.  No payment should be made that could be interpreted as an excessive financial </w:t>
      </w:r>
      <w:r w:rsidR="00666B85">
        <w:t>inducement, persuading an individual to take part against their better judgement.</w:t>
      </w:r>
    </w:p>
    <w:p w14:paraId="2D8BEBC9" w14:textId="75307A0B" w:rsidR="00D4277B" w:rsidRPr="00693E3E" w:rsidRDefault="00D4277B" w:rsidP="00693E3E">
      <w:pPr>
        <w:pStyle w:val="Heading2"/>
        <w:spacing w:before="120" w:after="120"/>
        <w:ind w:left="578" w:hanging="578"/>
        <w:rPr>
          <w:rFonts w:eastAsia="Times New Roman"/>
          <w:lang w:eastAsia="en-GB"/>
        </w:rPr>
      </w:pPr>
      <w:r w:rsidRPr="00693E3E">
        <w:rPr>
          <w:b/>
          <w:bCs/>
        </w:rPr>
        <w:t>Where</w:t>
      </w:r>
      <w:r w:rsidRPr="00693E3E">
        <w:rPr>
          <w:b/>
          <w:bCs/>
          <w:lang w:eastAsia="en-GB"/>
        </w:rPr>
        <w:t xml:space="preserve"> individuals are engaged in PPI activity</w:t>
      </w:r>
      <w:r w:rsidRPr="00693E3E">
        <w:rPr>
          <w:lang w:eastAsia="en-GB"/>
        </w:rPr>
        <w:t xml:space="preserve">, </w:t>
      </w:r>
      <w:r w:rsidR="00D87C65" w:rsidRPr="00693E3E">
        <w:rPr>
          <w:lang w:eastAsia="en-GB"/>
        </w:rPr>
        <w:t xml:space="preserve">PIs should </w:t>
      </w:r>
      <w:r w:rsidR="0013236B" w:rsidRPr="00693E3E">
        <w:rPr>
          <w:lang w:eastAsia="en-GB"/>
        </w:rPr>
        <w:t xml:space="preserve">offer payment in line with </w:t>
      </w:r>
      <w:r w:rsidR="003821AB" w:rsidRPr="00693E3E">
        <w:rPr>
          <w:lang w:eastAsia="en-GB"/>
        </w:rPr>
        <w:t xml:space="preserve">guidance produced by </w:t>
      </w:r>
      <w:r w:rsidR="003821AB" w:rsidRPr="00693E3E">
        <w:rPr>
          <w:rFonts w:eastAsia="Times New Roman"/>
          <w:lang w:eastAsia="en-GB"/>
        </w:rPr>
        <w:t xml:space="preserve">the </w:t>
      </w:r>
      <w:hyperlink r:id="rId16" w:history="1">
        <w:r w:rsidR="003821AB" w:rsidRPr="00693E3E">
          <w:rPr>
            <w:rStyle w:val="Hyperlink"/>
            <w:rFonts w:eastAsia="Times New Roman"/>
            <w:lang w:eastAsia="en-GB"/>
          </w:rPr>
          <w:t>National Institute for Health and Care Research (NIHR)</w:t>
        </w:r>
      </w:hyperlink>
      <w:r w:rsidR="001B497D" w:rsidRPr="00693E3E">
        <w:rPr>
          <w:rFonts w:eastAsia="Times New Roman"/>
          <w:lang w:eastAsia="en-GB"/>
        </w:rPr>
        <w:t xml:space="preserve"> </w:t>
      </w:r>
      <w:r w:rsidR="005C613F" w:rsidRPr="00693E3E">
        <w:rPr>
          <w:rFonts w:eastAsia="Times New Roman"/>
          <w:lang w:eastAsia="en-GB"/>
        </w:rPr>
        <w:t>or</w:t>
      </w:r>
      <w:r w:rsidR="001B497D" w:rsidRPr="00693E3E">
        <w:rPr>
          <w:rFonts w:eastAsia="Times New Roman"/>
          <w:lang w:eastAsia="en-GB"/>
        </w:rPr>
        <w:t xml:space="preserve"> </w:t>
      </w:r>
      <w:hyperlink r:id="rId17" w:history="1">
        <w:r w:rsidR="001B497D" w:rsidRPr="00693E3E">
          <w:rPr>
            <w:rStyle w:val="Hyperlink"/>
            <w:rFonts w:eastAsia="Times New Roman"/>
            <w:lang w:eastAsia="en-GB"/>
          </w:rPr>
          <w:t>Health Care Research Wales</w:t>
        </w:r>
        <w:r w:rsidR="005C613F" w:rsidRPr="00693E3E">
          <w:rPr>
            <w:rStyle w:val="Hyperlink"/>
            <w:rFonts w:eastAsia="Times New Roman"/>
            <w:lang w:eastAsia="en-GB"/>
          </w:rPr>
          <w:t xml:space="preserve"> (HCRW)</w:t>
        </w:r>
      </w:hyperlink>
      <w:r w:rsidR="009C319B" w:rsidRPr="00693E3E">
        <w:rPr>
          <w:rFonts w:eastAsia="Times New Roman"/>
          <w:lang w:eastAsia="en-GB"/>
        </w:rPr>
        <w:t xml:space="preserve">, whichever is most appropriate for their project.  </w:t>
      </w:r>
      <w:r w:rsidR="00295DF7" w:rsidRPr="00693E3E">
        <w:rPr>
          <w:rFonts w:eastAsia="Times New Roman"/>
          <w:lang w:eastAsia="en-GB"/>
        </w:rPr>
        <w:t>It should be noted that reasonable receipted travel and refre</w:t>
      </w:r>
      <w:r w:rsidR="00456D96" w:rsidRPr="00693E3E">
        <w:rPr>
          <w:rFonts w:eastAsia="Times New Roman"/>
          <w:lang w:eastAsia="en-GB"/>
        </w:rPr>
        <w:t>shment expenses can be paid in addition to these payments.</w:t>
      </w:r>
    </w:p>
    <w:p w14:paraId="174E6E6F" w14:textId="5F056872" w:rsidR="00227B5C" w:rsidRDefault="00227B5C" w:rsidP="0052032E">
      <w:pPr>
        <w:ind w:left="567"/>
        <w:rPr>
          <w:rFonts w:eastAsia="Times New Roman"/>
          <w:lang w:eastAsia="en-GB"/>
        </w:rPr>
      </w:pPr>
      <w:r w:rsidRPr="00693E3E">
        <w:rPr>
          <w:rFonts w:eastAsia="Times New Roman"/>
          <w:lang w:eastAsia="en-GB"/>
        </w:rPr>
        <w:t>It is recognised that</w:t>
      </w:r>
      <w:r w:rsidR="006708B5" w:rsidRPr="00693E3E">
        <w:rPr>
          <w:rFonts w:eastAsia="Times New Roman"/>
          <w:lang w:eastAsia="en-GB"/>
        </w:rPr>
        <w:t xml:space="preserve"> actual payment amounts will depend on the nature of the research and the individ</w:t>
      </w:r>
      <w:r w:rsidR="00197CD1" w:rsidRPr="00693E3E">
        <w:rPr>
          <w:rFonts w:eastAsia="Times New Roman"/>
          <w:lang w:eastAsia="en-GB"/>
        </w:rPr>
        <w:t xml:space="preserve">ual’s input.  </w:t>
      </w:r>
      <w:proofErr w:type="gramStart"/>
      <w:r w:rsidR="00197CD1" w:rsidRPr="00693E3E">
        <w:rPr>
          <w:rFonts w:eastAsia="Times New Roman"/>
          <w:lang w:eastAsia="en-GB"/>
        </w:rPr>
        <w:t>In particular, PIs</w:t>
      </w:r>
      <w:proofErr w:type="gramEnd"/>
      <w:r w:rsidR="00197CD1" w:rsidRPr="00693E3E">
        <w:rPr>
          <w:rFonts w:eastAsia="Times New Roman"/>
          <w:lang w:eastAsia="en-GB"/>
        </w:rPr>
        <w:t xml:space="preserve"> must ensure that any preparation time required is </w:t>
      </w:r>
      <w:proofErr w:type="gramStart"/>
      <w:r w:rsidR="00197CD1" w:rsidRPr="00693E3E">
        <w:rPr>
          <w:rFonts w:eastAsia="Times New Roman"/>
          <w:lang w:eastAsia="en-GB"/>
        </w:rPr>
        <w:t>taken into account</w:t>
      </w:r>
      <w:proofErr w:type="gramEnd"/>
      <w:r w:rsidR="00197CD1" w:rsidRPr="00693E3E">
        <w:rPr>
          <w:rFonts w:eastAsia="Times New Roman"/>
          <w:lang w:eastAsia="en-GB"/>
        </w:rPr>
        <w:t xml:space="preserve"> when deciding payment amounts.  These payments must be included in the costing and pricing undertaken before the project commences.</w:t>
      </w:r>
    </w:p>
    <w:p w14:paraId="6524285C" w14:textId="455CB06F" w:rsidR="00076FC4" w:rsidRDefault="00FF1C6D" w:rsidP="00F82F4D">
      <w:pPr>
        <w:pStyle w:val="Heading2"/>
        <w:rPr>
          <w:lang w:eastAsia="en-GB"/>
        </w:rPr>
      </w:pPr>
      <w:r w:rsidRPr="00FF1C6D">
        <w:rPr>
          <w:b/>
          <w:bCs/>
          <w:lang w:eastAsia="en-GB"/>
        </w:rPr>
        <w:t>Where individuals are engaged as Research Volunteers</w:t>
      </w:r>
      <w:r>
        <w:rPr>
          <w:lang w:eastAsia="en-GB"/>
        </w:rPr>
        <w:t xml:space="preserve">, </w:t>
      </w:r>
      <w:r w:rsidR="000626B4">
        <w:rPr>
          <w:lang w:eastAsia="en-GB"/>
        </w:rPr>
        <w:t xml:space="preserve">they will not normally be </w:t>
      </w:r>
      <w:r w:rsidR="00093C48">
        <w:rPr>
          <w:lang w:eastAsia="en-GB"/>
        </w:rPr>
        <w:t>offered payment above and beyond the compensation of any expenses incurred, and it is the responsibility of</w:t>
      </w:r>
      <w:r w:rsidR="00A71D14">
        <w:rPr>
          <w:lang w:eastAsia="en-GB"/>
        </w:rPr>
        <w:t xml:space="preserve"> the PI to ensure this is made clear to potential Research Volunteers before they consent to participate</w:t>
      </w:r>
      <w:r w:rsidR="00CB46FD">
        <w:rPr>
          <w:lang w:eastAsia="en-GB"/>
        </w:rPr>
        <w:t>.  The following exceptions will apply:</w:t>
      </w:r>
    </w:p>
    <w:p w14:paraId="65139905" w14:textId="71D8665C" w:rsidR="00F82F4D" w:rsidRDefault="00B50158" w:rsidP="00F82F4D">
      <w:pPr>
        <w:pStyle w:val="ListParagraph"/>
        <w:numPr>
          <w:ilvl w:val="0"/>
          <w:numId w:val="24"/>
        </w:numPr>
        <w:ind w:left="1134"/>
        <w:rPr>
          <w:lang w:eastAsia="en-GB"/>
        </w:rPr>
      </w:pPr>
      <w:r w:rsidRPr="00064F83">
        <w:rPr>
          <w:u w:val="single"/>
          <w:lang w:eastAsia="en-GB"/>
        </w:rPr>
        <w:t>Offering a nominal payment as thanks in the form of a voucher</w:t>
      </w:r>
      <w:r>
        <w:rPr>
          <w:lang w:eastAsia="en-GB"/>
        </w:rPr>
        <w:br/>
        <w:t>Close scrutiny wil</w:t>
      </w:r>
      <w:r w:rsidR="000D7739">
        <w:rPr>
          <w:lang w:eastAsia="en-GB"/>
        </w:rPr>
        <w:t>l</w:t>
      </w:r>
      <w:r>
        <w:rPr>
          <w:lang w:eastAsia="en-GB"/>
        </w:rPr>
        <w:t xml:space="preserve"> be paid to any such proposed payments as part of the ethics approval process, </w:t>
      </w:r>
      <w:proofErr w:type="gramStart"/>
      <w:r>
        <w:rPr>
          <w:lang w:eastAsia="en-GB"/>
        </w:rPr>
        <w:t>in order to</w:t>
      </w:r>
      <w:proofErr w:type="gramEnd"/>
      <w:r>
        <w:rPr>
          <w:lang w:eastAsia="en-GB"/>
        </w:rPr>
        <w:t xml:space="preserve"> avoid situations where participants are induced to undertake risks that might otherwise be against their better judgement.  </w:t>
      </w:r>
      <w:r w:rsidR="001D15F6">
        <w:rPr>
          <w:lang w:eastAsia="en-GB"/>
        </w:rPr>
        <w:t xml:space="preserve">Ethics panels will consider it good practice not to offer vouchers for </w:t>
      </w:r>
      <w:r w:rsidR="007206D7">
        <w:rPr>
          <w:lang w:eastAsia="en-GB"/>
        </w:rPr>
        <w:t xml:space="preserve">goods and/or services which are linked </w:t>
      </w:r>
      <w:r w:rsidR="0081662B">
        <w:rPr>
          <w:lang w:eastAsia="en-GB"/>
        </w:rPr>
        <w:t>to</w:t>
      </w:r>
      <w:r w:rsidR="007206D7">
        <w:rPr>
          <w:lang w:eastAsia="en-GB"/>
        </w:rPr>
        <w:t xml:space="preserve"> the project</w:t>
      </w:r>
      <w:r w:rsidR="00787009">
        <w:rPr>
          <w:lang w:eastAsia="en-GB"/>
        </w:rPr>
        <w:t>.</w:t>
      </w:r>
      <w:r w:rsidR="007A7A5B">
        <w:rPr>
          <w:lang w:eastAsia="en-GB"/>
        </w:rPr>
        <w:t xml:space="preserve">  </w:t>
      </w:r>
      <w:r w:rsidR="007A7A5B">
        <w:rPr>
          <w:lang w:eastAsia="en-GB"/>
        </w:rPr>
        <w:lastRenderedPageBreak/>
        <w:t>Vouchers for goods or services provided by a partner in the project must not be offered.</w:t>
      </w:r>
    </w:p>
    <w:p w14:paraId="36716E44" w14:textId="2077641A" w:rsidR="009A2196" w:rsidRPr="00E46AF4" w:rsidRDefault="009A2196" w:rsidP="00F82F4D">
      <w:pPr>
        <w:pStyle w:val="ListParagraph"/>
        <w:numPr>
          <w:ilvl w:val="0"/>
          <w:numId w:val="24"/>
        </w:numPr>
        <w:ind w:left="1134"/>
        <w:rPr>
          <w:lang w:eastAsia="en-GB"/>
        </w:rPr>
      </w:pPr>
      <w:r w:rsidRPr="00064F83">
        <w:rPr>
          <w:u w:val="single"/>
          <w:lang w:eastAsia="en-GB"/>
        </w:rPr>
        <w:t>Participation which is likely to involve a significant time commitment</w:t>
      </w:r>
      <w:r w:rsidR="00064F83">
        <w:rPr>
          <w:lang w:eastAsia="en-GB"/>
        </w:rPr>
        <w:br/>
        <w:t>In such instances, PIs should refer to the payment threshold referred to in 4.2 and ensure any proposed payments are fully detailed in the Participant Information Sheet.</w:t>
      </w:r>
    </w:p>
    <w:p w14:paraId="11592DDF" w14:textId="3854CD55" w:rsidR="00853F41" w:rsidRDefault="00853F41" w:rsidP="003512B1">
      <w:pPr>
        <w:pStyle w:val="Heading2"/>
      </w:pPr>
      <w:r>
        <w:t>R</w:t>
      </w:r>
      <w:r w:rsidRPr="00853F41">
        <w:t>esearch volunteers, lay participants and participants in clinical trials</w:t>
      </w:r>
      <w:r>
        <w:t xml:space="preserve"> as defined in 2.2 of this policy are not considered to be suppliers. These individuals are volunteering their time for research purposes and as such will not be subject to the University’s IR35 and Off-payroll Working Process. There is no need to undertake a Check Employment Status Tool (CEST) for individuals who are engaged under the Research Participation Payment Policy unless they fall into any of the exceptions outlined. In such cases, your respective HR and Finance Business Partners should </w:t>
      </w:r>
      <w:proofErr w:type="gramStart"/>
      <w:r>
        <w:t>contacted</w:t>
      </w:r>
      <w:proofErr w:type="gramEnd"/>
      <w:r>
        <w:t xml:space="preserve"> in the first instance.</w:t>
      </w:r>
    </w:p>
    <w:p w14:paraId="6E7E8BFB" w14:textId="05510C80" w:rsidR="009A3418" w:rsidRDefault="005A493B" w:rsidP="003512B1">
      <w:pPr>
        <w:pStyle w:val="Heading2"/>
      </w:pPr>
      <w:r>
        <w:t>All payments must be made from university funds and approved prior to commencement of the project</w:t>
      </w:r>
      <w:r w:rsidR="00B249C4">
        <w:t>, in line with the University’s</w:t>
      </w:r>
      <w:r w:rsidR="00853F41">
        <w:t xml:space="preserve"> R&amp;I</w:t>
      </w:r>
      <w:r w:rsidR="00B249C4">
        <w:t xml:space="preserve"> Pricing Policy.  Details of any payments should </w:t>
      </w:r>
      <w:r w:rsidR="003512B1">
        <w:t xml:space="preserve">also </w:t>
      </w:r>
      <w:r w:rsidR="00B249C4">
        <w:t>be included in the ethics approval application.</w:t>
      </w:r>
    </w:p>
    <w:p w14:paraId="047003A2" w14:textId="0235367B" w:rsidR="00DD0128" w:rsidRDefault="00FE1FFC" w:rsidP="00DD0128">
      <w:pPr>
        <w:pStyle w:val="Heading2"/>
      </w:pPr>
      <w:r>
        <w:t xml:space="preserve">Where the project is in receipt of funding from an external source, PIs must ensure they comply with any requirements related to the payment of research participants stated </w:t>
      </w:r>
      <w:r w:rsidR="00B24C49">
        <w:t xml:space="preserve">by the Funder. Payment levels required by the Funder will take precedence over rates </w:t>
      </w:r>
      <w:r w:rsidR="00DD0128">
        <w:t>suggested by Cardiff Met, although should these greatly exceed the amounts laid out in this policy then this should be discussed with</w:t>
      </w:r>
      <w:r w:rsidR="00853F41">
        <w:t xml:space="preserve"> your Finance Business Partner</w:t>
      </w:r>
      <w:r w:rsidR="00DD0128">
        <w:t xml:space="preserve"> prior to commencement of the project.</w:t>
      </w:r>
    </w:p>
    <w:p w14:paraId="440CBC7C" w14:textId="2727285C" w:rsidR="003512B1" w:rsidRDefault="002D14AD" w:rsidP="00372635">
      <w:pPr>
        <w:pStyle w:val="Heading2"/>
      </w:pPr>
      <w:r>
        <w:t xml:space="preserve">As </w:t>
      </w:r>
      <w:r w:rsidR="009E35E9">
        <w:t xml:space="preserve">previously </w:t>
      </w:r>
      <w:proofErr w:type="gramStart"/>
      <w:r w:rsidR="009E35E9">
        <w:t>mentioned</w:t>
      </w:r>
      <w:proofErr w:type="gramEnd"/>
      <w:r w:rsidR="009E35E9">
        <w:t xml:space="preserve"> (see 3.1), there may be instances where higher levels of payment </w:t>
      </w:r>
      <w:r w:rsidR="00A0698F">
        <w:t xml:space="preserve">than detailed in this policy will be </w:t>
      </w:r>
      <w:r w:rsidR="009E35E9">
        <w:t>require</w:t>
      </w:r>
      <w:r w:rsidR="00A0698F">
        <w:t xml:space="preserve">d.  Should this be the case, </w:t>
      </w:r>
      <w:r w:rsidR="006E0811">
        <w:t>the PI should be mindful that this may change the nature of the relationship between the individual and the University</w:t>
      </w:r>
      <w:r w:rsidR="00CB7D4A">
        <w:t xml:space="preserve"> in terms of how they would be defined by HMRC</w:t>
      </w:r>
      <w:r w:rsidR="003F0640">
        <w:t xml:space="preserve"> and should seek advice </w:t>
      </w:r>
      <w:r w:rsidR="00404EC5">
        <w:t>from their</w:t>
      </w:r>
      <w:r w:rsidR="00853F41">
        <w:t xml:space="preserve"> Finance Business Partner </w:t>
      </w:r>
      <w:r w:rsidR="003F0640">
        <w:t>before commencing the project or contacting any potential participants.</w:t>
      </w:r>
    </w:p>
    <w:p w14:paraId="296FA9FC" w14:textId="7E4A7032" w:rsidR="00853F41" w:rsidRPr="009A3418" w:rsidRDefault="00853F41" w:rsidP="005A493B">
      <w:pPr>
        <w:spacing w:before="120" w:after="120"/>
        <w:ind w:left="567" w:hanging="567"/>
      </w:pPr>
      <w:r>
        <w:t>4.8</w:t>
      </w:r>
      <w:r>
        <w:tab/>
        <w:t xml:space="preserve">Where </w:t>
      </w:r>
      <w:r w:rsidRPr="00CD52F3">
        <w:t>PPI Consultants are engaged to coordinate and recruit</w:t>
      </w:r>
      <w:r>
        <w:t xml:space="preserve"> r</w:t>
      </w:r>
      <w:r w:rsidRPr="00853F41">
        <w:t>esearch volunteers, lay participants and participants in clinical trials</w:t>
      </w:r>
      <w:r>
        <w:t xml:space="preserve">, they will be considered to be suppliers and will need to be engaged via the University’s procurement procedures and processes to ensure compliance with the University’s Financial Regulations and a host of legislation that applies to public sector procurement. In the same manner, PPI Consultants will be subject to </w:t>
      </w:r>
      <w:r w:rsidRPr="00853F41">
        <w:t>the University’s IR35 and Off-payroll Working Process</w:t>
      </w:r>
      <w:r>
        <w:t xml:space="preserve">. </w:t>
      </w:r>
      <w:r w:rsidRPr="00853F41">
        <w:t>The guidance must be adhered to and dependent on the outcome of the Check Employment Status Tool (CEST) the worker may be set up as a supplier and paid via the accounts payable process or as a deemed employee for tax purposes and paid via the payroll process.</w:t>
      </w:r>
    </w:p>
    <w:p w14:paraId="36FC8A29" w14:textId="7ADF2831" w:rsidR="004F3D8E" w:rsidRDefault="000C2174" w:rsidP="00176F33">
      <w:pPr>
        <w:pStyle w:val="Heading1"/>
        <w:spacing w:before="120" w:after="120"/>
      </w:pPr>
      <w:r>
        <w:t>Appropriate methods of payment</w:t>
      </w:r>
    </w:p>
    <w:p w14:paraId="4A018A39" w14:textId="74312D67" w:rsidR="004F3D8E" w:rsidRPr="008627B3" w:rsidRDefault="00A57888" w:rsidP="00176F33">
      <w:pPr>
        <w:pStyle w:val="Heading2"/>
        <w:spacing w:before="120" w:after="120"/>
      </w:pPr>
      <w:r>
        <w:lastRenderedPageBreak/>
        <w:t xml:space="preserve">In order to pay participant expenses, PIs will be required to follow standard </w:t>
      </w:r>
      <w:hyperlink r:id="rId18" w:history="1">
        <w:r w:rsidRPr="00E1196B">
          <w:rPr>
            <w:rStyle w:val="Hyperlink"/>
          </w:rPr>
          <w:t>Cardiff Met financial procedures</w:t>
        </w:r>
      </w:hyperlink>
      <w:r w:rsidR="00375D99">
        <w:t xml:space="preserve"> and</w:t>
      </w:r>
      <w:r w:rsidR="00F81252">
        <w:t xml:space="preserve"> </w:t>
      </w:r>
      <w:r w:rsidR="00F81252" w:rsidRPr="004F43CD">
        <w:rPr>
          <w:rFonts w:eastAsia="Times New Roman"/>
          <w:lang w:eastAsia="en-GB"/>
        </w:rPr>
        <w:t xml:space="preserve">should therefore ensure that participants complete all the required paperwork and that </w:t>
      </w:r>
      <w:r w:rsidR="00F81252">
        <w:rPr>
          <w:rFonts w:eastAsia="Times New Roman"/>
          <w:lang w:eastAsia="en-GB"/>
        </w:rPr>
        <w:t xml:space="preserve">records are kept of </w:t>
      </w:r>
      <w:r w:rsidR="00F81252" w:rsidRPr="004F43CD">
        <w:rPr>
          <w:rFonts w:eastAsia="Times New Roman"/>
          <w:lang w:eastAsia="en-GB"/>
        </w:rPr>
        <w:t>all agreements regarding the payment of expenses.  Failure to comply with financial procedures could result in the Finance Department being unable to honour claims made</w:t>
      </w:r>
      <w:r w:rsidR="00B65212">
        <w:t>.</w:t>
      </w:r>
    </w:p>
    <w:p w14:paraId="034430E3" w14:textId="43E0640C" w:rsidR="00023AAD" w:rsidRDefault="0080400C" w:rsidP="00176F33">
      <w:pPr>
        <w:pStyle w:val="Heading2"/>
        <w:spacing w:before="120" w:after="120"/>
        <w:rPr>
          <w:rFonts w:eastAsia="Times New Roman"/>
          <w:lang w:eastAsia="en-GB"/>
        </w:rPr>
      </w:pPr>
      <w:r w:rsidRPr="002421A6">
        <w:rPr>
          <w:rFonts w:eastAsia="Times New Roman"/>
          <w:lang w:eastAsia="en-GB"/>
        </w:rPr>
        <w:t>HMRC state that there will be no tax or NIC liability arising on the individual if the sums received do no more than reimburse the individuals for reasonable costs incurred in participating in the trial or research; this includes costs of travel and subsistence. However</w:t>
      </w:r>
      <w:r w:rsidR="001C191C">
        <w:rPr>
          <w:rFonts w:eastAsia="Times New Roman"/>
          <w:lang w:eastAsia="en-GB"/>
        </w:rPr>
        <w:t>,</w:t>
      </w:r>
      <w:r w:rsidRPr="002421A6">
        <w:rPr>
          <w:rFonts w:eastAsia="Times New Roman"/>
          <w:lang w:eastAsia="en-GB"/>
        </w:rPr>
        <w:t xml:space="preserve"> exceeding reasonable expenses means the excess may become taxable and potentially give rise to personal tax liabilities which should be notified to HMRC under Self-Assessment rules. The university does not complete such returns on behalf of research participants</w:t>
      </w:r>
      <w:r>
        <w:rPr>
          <w:rFonts w:eastAsia="Times New Roman"/>
          <w:lang w:eastAsia="en-GB"/>
        </w:rPr>
        <w:t>.</w:t>
      </w:r>
    </w:p>
    <w:p w14:paraId="244CB471" w14:textId="3A67ED32" w:rsidR="00D7599A" w:rsidRDefault="00714A38" w:rsidP="00940C82">
      <w:pPr>
        <w:pStyle w:val="Heading2"/>
        <w:spacing w:before="120" w:after="120"/>
        <w:rPr>
          <w:rFonts w:eastAsia="Times New Roman"/>
          <w:lang w:eastAsia="en-GB"/>
        </w:rPr>
      </w:pPr>
      <w:r w:rsidRPr="002421A6">
        <w:rPr>
          <w:rFonts w:eastAsia="Times New Roman"/>
          <w:lang w:eastAsia="en-GB"/>
        </w:rPr>
        <w:t xml:space="preserve">Payments might have implications for individuals on benefits. </w:t>
      </w:r>
      <w:r>
        <w:rPr>
          <w:rFonts w:eastAsia="Times New Roman"/>
          <w:lang w:eastAsia="en-GB"/>
        </w:rPr>
        <w:t xml:space="preserve">If required, PIs should provide </w:t>
      </w:r>
      <w:r w:rsidRPr="002421A6">
        <w:rPr>
          <w:rFonts w:eastAsia="Times New Roman"/>
          <w:lang w:eastAsia="en-GB"/>
        </w:rPr>
        <w:t xml:space="preserve">research participants with a draft letter to present to the Job Centre. This letter should outline the nature of the individual’s </w:t>
      </w:r>
      <w:r w:rsidR="00D57FF1" w:rsidRPr="002421A6">
        <w:rPr>
          <w:rFonts w:eastAsia="Times New Roman"/>
          <w:lang w:eastAsia="en-GB"/>
        </w:rPr>
        <w:t>involvement,</w:t>
      </w:r>
      <w:r w:rsidRPr="002421A6">
        <w:rPr>
          <w:rFonts w:eastAsia="Times New Roman"/>
          <w:lang w:eastAsia="en-GB"/>
        </w:rPr>
        <w:t xml:space="preserve"> and the payment received for their time</w:t>
      </w:r>
      <w:r>
        <w:rPr>
          <w:rFonts w:eastAsia="Times New Roman"/>
          <w:lang w:eastAsia="en-GB"/>
        </w:rPr>
        <w:t>.</w:t>
      </w:r>
    </w:p>
    <w:p w14:paraId="7A35AB44" w14:textId="227A2BB1" w:rsidR="00940C82" w:rsidRDefault="00E615C9" w:rsidP="000B4ECF">
      <w:pPr>
        <w:pStyle w:val="Heading2"/>
        <w:spacing w:before="120" w:after="120"/>
        <w:rPr>
          <w:rFonts w:eastAsia="Times New Roman"/>
          <w:lang w:eastAsia="en-GB"/>
        </w:rPr>
      </w:pPr>
      <w:r>
        <w:rPr>
          <w:lang w:eastAsia="en-GB"/>
        </w:rPr>
        <w:t>Payments to research parti</w:t>
      </w:r>
      <w:r w:rsidR="002C0898">
        <w:rPr>
          <w:lang w:eastAsia="en-GB"/>
        </w:rPr>
        <w:t>cipants</w:t>
      </w:r>
      <w:r w:rsidR="00346A96">
        <w:rPr>
          <w:lang w:eastAsia="en-GB"/>
        </w:rPr>
        <w:t xml:space="preserve"> can be made by voucher, or post event by transfer</w:t>
      </w:r>
      <w:r w:rsidR="005B4483">
        <w:rPr>
          <w:lang w:eastAsia="en-GB"/>
        </w:rPr>
        <w:t xml:space="preserve"> </w:t>
      </w:r>
      <w:r w:rsidR="00CC27E6">
        <w:rPr>
          <w:rFonts w:eastAsia="Times New Roman"/>
          <w:lang w:eastAsia="en-GB"/>
        </w:rPr>
        <w:t>to the participant</w:t>
      </w:r>
      <w:r w:rsidR="001C191C">
        <w:rPr>
          <w:rFonts w:eastAsia="Times New Roman"/>
          <w:lang w:eastAsia="en-GB"/>
        </w:rPr>
        <w:t>’</w:t>
      </w:r>
      <w:r w:rsidR="00CC27E6">
        <w:rPr>
          <w:rFonts w:eastAsia="Times New Roman"/>
          <w:lang w:eastAsia="en-GB"/>
        </w:rPr>
        <w:t xml:space="preserve">s bank account. </w:t>
      </w:r>
      <w:r w:rsidR="00CC27E6" w:rsidRPr="003D7587">
        <w:rPr>
          <w:rFonts w:eastAsia="Times New Roman"/>
          <w:lang w:eastAsia="en-GB"/>
        </w:rPr>
        <w:t>The decision as to which method of payment to use should be made with consideration of the appropriateness for the task and for the individual’s circumstances</w:t>
      </w:r>
      <w:r w:rsidR="00CC27E6">
        <w:rPr>
          <w:rFonts w:eastAsia="Times New Roman"/>
          <w:lang w:eastAsia="en-GB"/>
        </w:rPr>
        <w:t xml:space="preserve"> and should be detailed in the application for ethics approval</w:t>
      </w:r>
      <w:r w:rsidR="00CC27E6" w:rsidRPr="003D7587">
        <w:rPr>
          <w:rFonts w:eastAsia="Times New Roman"/>
          <w:lang w:eastAsia="en-GB"/>
        </w:rPr>
        <w:t xml:space="preserve">. The responsibility of the University to pay individuals in a timely and efficient manner, minimising the burden for participants and contributors </w:t>
      </w:r>
      <w:r w:rsidR="00CC27E6">
        <w:rPr>
          <w:rFonts w:eastAsia="Times New Roman"/>
          <w:lang w:eastAsia="en-GB"/>
        </w:rPr>
        <w:t>where</w:t>
      </w:r>
      <w:r w:rsidR="00CC27E6" w:rsidRPr="003D7587">
        <w:rPr>
          <w:rFonts w:eastAsia="Times New Roman"/>
          <w:lang w:eastAsia="en-GB"/>
        </w:rPr>
        <w:t xml:space="preserve"> possible, should be recognised throughout</w:t>
      </w:r>
      <w:r w:rsidR="00CC27E6">
        <w:rPr>
          <w:rFonts w:eastAsia="Times New Roman"/>
          <w:lang w:eastAsia="en-GB"/>
        </w:rPr>
        <w:t>.</w:t>
      </w:r>
    </w:p>
    <w:p w14:paraId="05C558F6" w14:textId="575D3A9C" w:rsidR="00CC27E6" w:rsidRDefault="00FB097D" w:rsidP="000B4ECF">
      <w:pPr>
        <w:pStyle w:val="Heading2"/>
        <w:spacing w:before="120" w:after="120"/>
        <w:rPr>
          <w:rFonts w:eastAsia="Times New Roman"/>
          <w:lang w:eastAsia="en-GB"/>
        </w:rPr>
      </w:pPr>
      <w:r>
        <w:rPr>
          <w:rFonts w:eastAsia="Times New Roman"/>
          <w:lang w:eastAsia="en-GB"/>
        </w:rPr>
        <w:t>Vouchers must be logged on purchase, kept in a secure departmental safe and details of issued retained.</w:t>
      </w:r>
    </w:p>
    <w:p w14:paraId="14E60512" w14:textId="27594CA9" w:rsidR="00FB097D" w:rsidRPr="00EC5833" w:rsidRDefault="00EC5833" w:rsidP="00FF2031">
      <w:pPr>
        <w:pStyle w:val="Heading2"/>
        <w:spacing w:before="120" w:after="120"/>
        <w:rPr>
          <w:rFonts w:eastAsia="Times New Roman"/>
          <w:lang w:eastAsia="en-GB"/>
        </w:rPr>
      </w:pPr>
      <w:r>
        <w:rPr>
          <w:rFonts w:eastAsia="Times New Roman"/>
          <w:lang w:eastAsia="en-GB"/>
        </w:rPr>
        <w:t xml:space="preserve">Payment requests should be made using the Research Participant Payment form in Annex 1. </w:t>
      </w:r>
      <w:r w:rsidR="00912A0E">
        <w:rPr>
          <w:rFonts w:eastAsia="Times New Roman"/>
          <w:lang w:eastAsia="en-GB"/>
        </w:rPr>
        <w:t>T</w:t>
      </w:r>
      <w:r w:rsidR="00184EE3" w:rsidRPr="00EC5833">
        <w:rPr>
          <w:rFonts w:eastAsia="Times New Roman"/>
          <w:lang w:eastAsia="en-GB"/>
        </w:rPr>
        <w:t xml:space="preserve">he form must include the </w:t>
      </w:r>
      <w:proofErr w:type="gramStart"/>
      <w:r w:rsidR="00184EE3" w:rsidRPr="00EC5833">
        <w:rPr>
          <w:rFonts w:eastAsia="Times New Roman"/>
          <w:lang w:eastAsia="en-GB"/>
        </w:rPr>
        <w:t>volunteer</w:t>
      </w:r>
      <w:proofErr w:type="gramEnd"/>
      <w:r w:rsidR="00184EE3" w:rsidRPr="00EC5833">
        <w:rPr>
          <w:rFonts w:eastAsia="Times New Roman"/>
          <w:lang w:eastAsia="en-GB"/>
        </w:rPr>
        <w:t xml:space="preserve"> name, account number, sort code and payment value and give reference to the research project.  </w:t>
      </w:r>
    </w:p>
    <w:p w14:paraId="0EC2DE32" w14:textId="45CF8361" w:rsidR="00091262" w:rsidRDefault="007D6E19" w:rsidP="00FF2031">
      <w:pPr>
        <w:pStyle w:val="Heading2"/>
        <w:spacing w:before="120" w:after="120"/>
        <w:rPr>
          <w:lang w:eastAsia="en-GB"/>
        </w:rPr>
      </w:pPr>
      <w:r>
        <w:rPr>
          <w:lang w:eastAsia="en-GB"/>
        </w:rPr>
        <w:t xml:space="preserve">The Participant Information Sheet should include </w:t>
      </w:r>
      <w:r w:rsidR="006D2369">
        <w:rPr>
          <w:lang w:eastAsia="en-GB"/>
        </w:rPr>
        <w:t>detail on how payment will be made.</w:t>
      </w:r>
    </w:p>
    <w:p w14:paraId="6763C738" w14:textId="74605577" w:rsidR="00023AAD" w:rsidRDefault="006D2369" w:rsidP="00FF2031">
      <w:pPr>
        <w:spacing w:before="120" w:after="120"/>
        <w:ind w:left="567" w:hanging="567"/>
      </w:pPr>
      <w:r>
        <w:rPr>
          <w:lang w:eastAsia="en-GB"/>
        </w:rPr>
        <w:t>5.8</w:t>
      </w:r>
      <w:r>
        <w:rPr>
          <w:lang w:eastAsia="en-GB"/>
        </w:rPr>
        <w:tab/>
      </w:r>
      <w:r w:rsidR="006805D1">
        <w:rPr>
          <w:lang w:eastAsia="en-GB"/>
        </w:rPr>
        <w:t xml:space="preserve">A record must be kept of any amount paid to an individual and when this payment was made.  This record must meet GDPR requirements </w:t>
      </w:r>
      <w:r w:rsidR="006A799F">
        <w:rPr>
          <w:lang w:eastAsia="en-GB"/>
        </w:rPr>
        <w:t xml:space="preserve">and be shared upon request in the event of an audit or HMRC review.  Such records must be retained for seven years, or longer if project </w:t>
      </w:r>
      <w:r w:rsidR="00EB4156">
        <w:rPr>
          <w:lang w:eastAsia="en-GB"/>
        </w:rPr>
        <w:t>guidelines require.</w:t>
      </w:r>
    </w:p>
    <w:p w14:paraId="14EE3C81" w14:textId="39BA1453" w:rsidR="004F3D8E" w:rsidRDefault="00ED19D8" w:rsidP="00176F33">
      <w:pPr>
        <w:pStyle w:val="Heading1"/>
        <w:spacing w:before="120" w:after="120"/>
      </w:pPr>
      <w:bookmarkStart w:id="10" w:name="_Toc77936664"/>
      <w:r>
        <w:t>Review</w:t>
      </w:r>
      <w:r w:rsidR="00DE4000">
        <w:t xml:space="preserve"> and </w:t>
      </w:r>
      <w:r>
        <w:t>Approva</w:t>
      </w:r>
      <w:r w:rsidR="00DE4000">
        <w:t>l</w:t>
      </w:r>
      <w:bookmarkEnd w:id="10"/>
    </w:p>
    <w:p w14:paraId="5B58CDED" w14:textId="60D2EB4A" w:rsidR="00ED6897" w:rsidRPr="008627B3" w:rsidRDefault="00FE465C" w:rsidP="00FE465C">
      <w:pPr>
        <w:pStyle w:val="Heading2"/>
      </w:pPr>
      <w:r w:rsidRPr="000E1E74">
        <w:t xml:space="preserve">This policy will be reviewed by </w:t>
      </w:r>
      <w:r>
        <w:t>Research &amp; Innovation Committee</w:t>
      </w:r>
      <w:r w:rsidRPr="000E1E74">
        <w:t xml:space="preserve"> every three years, in line with the University Schedule for Policy Approval</w:t>
      </w:r>
      <w:r>
        <w:t>, or more frequently if deemed necessary</w:t>
      </w:r>
      <w:r w:rsidR="003A2229">
        <w:t>.</w:t>
      </w:r>
    </w:p>
    <w:p w14:paraId="6A1C6B10" w14:textId="7B004D39" w:rsidR="00D624C4" w:rsidRDefault="00D624C4" w:rsidP="00176F33">
      <w:pPr>
        <w:spacing w:before="120" w:after="120"/>
      </w:pPr>
      <w:r>
        <w:br w:type="page"/>
      </w:r>
    </w:p>
    <w:p w14:paraId="7DDC26F8" w14:textId="77777777" w:rsidR="008A79A4" w:rsidRPr="008F35AB" w:rsidRDefault="008A79A4" w:rsidP="00BC47EA">
      <w:pPr>
        <w:tabs>
          <w:tab w:val="left" w:pos="11057"/>
        </w:tabs>
        <w:ind w:left="567" w:right="985"/>
        <w:rPr>
          <w:rFonts w:cstheme="minorHAnsi"/>
          <w:sz w:val="32"/>
          <w:szCs w:val="32"/>
        </w:rPr>
      </w:pPr>
      <w:r w:rsidRPr="008F35AB">
        <w:rPr>
          <w:rFonts w:cstheme="minorHAnsi"/>
          <w:sz w:val="32"/>
          <w:szCs w:val="32"/>
        </w:rPr>
        <w:lastRenderedPageBreak/>
        <w:t>PPI Expenses &amp; Payment Claim</w:t>
      </w:r>
    </w:p>
    <w:tbl>
      <w:tblPr>
        <w:tblStyle w:val="TableGrid"/>
        <w:tblW w:w="10490" w:type="dxa"/>
        <w:tblInd w:w="-709" w:type="dxa"/>
        <w:tblCellMar>
          <w:left w:w="28" w:type="dxa"/>
        </w:tblCellMar>
        <w:tblLook w:val="04A0" w:firstRow="1" w:lastRow="0" w:firstColumn="1" w:lastColumn="0" w:noHBand="0" w:noVBand="1"/>
      </w:tblPr>
      <w:tblGrid>
        <w:gridCol w:w="3189"/>
        <w:gridCol w:w="2644"/>
        <w:gridCol w:w="1704"/>
        <w:gridCol w:w="439"/>
        <w:gridCol w:w="439"/>
        <w:gridCol w:w="439"/>
        <w:gridCol w:w="439"/>
        <w:gridCol w:w="1197"/>
      </w:tblGrid>
      <w:tr w:rsidR="008A79A4" w:rsidRPr="008F35AB" w14:paraId="73E99F90" w14:textId="77777777" w:rsidTr="00BB5E54">
        <w:trPr>
          <w:trHeight w:val="435"/>
        </w:trPr>
        <w:tc>
          <w:tcPr>
            <w:tcW w:w="3189" w:type="dxa"/>
            <w:tcBorders>
              <w:top w:val="nil"/>
              <w:left w:val="nil"/>
              <w:bottom w:val="nil"/>
              <w:right w:val="nil"/>
            </w:tcBorders>
            <w:shd w:val="clear" w:color="auto" w:fill="BFBFBF" w:themeFill="background1" w:themeFillShade="BF"/>
            <w:vAlign w:val="center"/>
          </w:tcPr>
          <w:p w14:paraId="01D003C4" w14:textId="77777777" w:rsidR="008A79A4" w:rsidRPr="008F35AB" w:rsidRDefault="008A79A4" w:rsidP="00C56F21">
            <w:pPr>
              <w:tabs>
                <w:tab w:val="left" w:pos="11057"/>
              </w:tabs>
              <w:ind w:left="567"/>
              <w:rPr>
                <w:rFonts w:cstheme="minorHAnsi"/>
                <w:b/>
                <w:bCs/>
                <w:sz w:val="20"/>
                <w:szCs w:val="20"/>
              </w:rPr>
            </w:pPr>
            <w:r w:rsidRPr="008F35AB">
              <w:rPr>
                <w:rFonts w:cstheme="minorHAnsi"/>
                <w:b/>
                <w:bCs/>
                <w:sz w:val="20"/>
                <w:szCs w:val="20"/>
              </w:rPr>
              <w:t>Name</w:t>
            </w:r>
          </w:p>
        </w:tc>
        <w:tc>
          <w:tcPr>
            <w:tcW w:w="2644" w:type="dxa"/>
            <w:tcBorders>
              <w:top w:val="nil"/>
              <w:left w:val="nil"/>
              <w:right w:val="nil"/>
            </w:tcBorders>
            <w:vAlign w:val="center"/>
          </w:tcPr>
          <w:p w14:paraId="242D197F" w14:textId="77777777" w:rsidR="008A79A4" w:rsidRPr="008F35AB" w:rsidRDefault="008A79A4" w:rsidP="00BC47EA">
            <w:pPr>
              <w:tabs>
                <w:tab w:val="left" w:pos="11057"/>
              </w:tabs>
              <w:ind w:left="567"/>
              <w:rPr>
                <w:rFonts w:cstheme="minorHAnsi"/>
                <w:sz w:val="20"/>
                <w:szCs w:val="20"/>
              </w:rPr>
            </w:pPr>
          </w:p>
        </w:tc>
        <w:tc>
          <w:tcPr>
            <w:tcW w:w="1704" w:type="dxa"/>
            <w:tcBorders>
              <w:top w:val="nil"/>
              <w:left w:val="nil"/>
              <w:bottom w:val="nil"/>
              <w:right w:val="nil"/>
            </w:tcBorders>
            <w:shd w:val="clear" w:color="auto" w:fill="BFBFBF" w:themeFill="background1" w:themeFillShade="BF"/>
            <w:vAlign w:val="center"/>
          </w:tcPr>
          <w:p w14:paraId="7137E5D1" w14:textId="77777777" w:rsidR="008A79A4" w:rsidRPr="008F35AB" w:rsidRDefault="008A79A4" w:rsidP="00BC47EA">
            <w:pPr>
              <w:tabs>
                <w:tab w:val="left" w:pos="11057"/>
              </w:tabs>
              <w:ind w:left="567"/>
              <w:rPr>
                <w:rFonts w:cstheme="minorHAnsi"/>
                <w:b/>
                <w:bCs/>
                <w:sz w:val="20"/>
                <w:szCs w:val="20"/>
              </w:rPr>
            </w:pPr>
            <w:r w:rsidRPr="008F35AB">
              <w:rPr>
                <w:rFonts w:cstheme="minorHAnsi"/>
                <w:b/>
                <w:bCs/>
                <w:sz w:val="20"/>
                <w:szCs w:val="20"/>
              </w:rPr>
              <w:t>Date of Visit</w:t>
            </w:r>
          </w:p>
        </w:tc>
        <w:tc>
          <w:tcPr>
            <w:tcW w:w="439" w:type="dxa"/>
            <w:tcBorders>
              <w:top w:val="nil"/>
              <w:left w:val="nil"/>
              <w:bottom w:val="single" w:sz="4" w:space="0" w:color="auto"/>
              <w:right w:val="nil"/>
            </w:tcBorders>
            <w:vAlign w:val="center"/>
          </w:tcPr>
          <w:p w14:paraId="08787B1D" w14:textId="77777777" w:rsidR="008A79A4" w:rsidRPr="008F35AB" w:rsidRDefault="008A79A4" w:rsidP="00BC47EA">
            <w:pPr>
              <w:tabs>
                <w:tab w:val="left" w:pos="11057"/>
              </w:tabs>
              <w:ind w:left="567"/>
              <w:rPr>
                <w:rFonts w:cstheme="minorHAnsi"/>
                <w:sz w:val="20"/>
                <w:szCs w:val="20"/>
              </w:rPr>
            </w:pPr>
          </w:p>
        </w:tc>
        <w:tc>
          <w:tcPr>
            <w:tcW w:w="439" w:type="dxa"/>
            <w:tcBorders>
              <w:top w:val="nil"/>
              <w:left w:val="nil"/>
              <w:bottom w:val="single" w:sz="4" w:space="0" w:color="auto"/>
              <w:right w:val="nil"/>
            </w:tcBorders>
            <w:vAlign w:val="center"/>
          </w:tcPr>
          <w:p w14:paraId="1117C880" w14:textId="77777777" w:rsidR="008A79A4" w:rsidRPr="008F35AB" w:rsidRDefault="008A79A4" w:rsidP="00BC47EA">
            <w:pPr>
              <w:tabs>
                <w:tab w:val="left" w:pos="11057"/>
              </w:tabs>
              <w:ind w:left="567"/>
              <w:rPr>
                <w:rFonts w:cstheme="minorHAnsi"/>
                <w:sz w:val="20"/>
                <w:szCs w:val="20"/>
              </w:rPr>
            </w:pPr>
          </w:p>
        </w:tc>
        <w:tc>
          <w:tcPr>
            <w:tcW w:w="439" w:type="dxa"/>
            <w:tcBorders>
              <w:top w:val="nil"/>
              <w:left w:val="nil"/>
              <w:bottom w:val="single" w:sz="4" w:space="0" w:color="auto"/>
              <w:right w:val="nil"/>
            </w:tcBorders>
            <w:vAlign w:val="center"/>
          </w:tcPr>
          <w:p w14:paraId="58739C7B" w14:textId="77777777" w:rsidR="008A79A4" w:rsidRPr="008F35AB" w:rsidRDefault="008A79A4" w:rsidP="00BC47EA">
            <w:pPr>
              <w:tabs>
                <w:tab w:val="left" w:pos="11057"/>
              </w:tabs>
              <w:ind w:left="567"/>
              <w:rPr>
                <w:rFonts w:cstheme="minorHAnsi"/>
                <w:sz w:val="20"/>
                <w:szCs w:val="20"/>
              </w:rPr>
            </w:pPr>
          </w:p>
        </w:tc>
        <w:tc>
          <w:tcPr>
            <w:tcW w:w="439" w:type="dxa"/>
            <w:tcBorders>
              <w:top w:val="nil"/>
              <w:left w:val="nil"/>
              <w:bottom w:val="single" w:sz="4" w:space="0" w:color="auto"/>
              <w:right w:val="nil"/>
            </w:tcBorders>
            <w:vAlign w:val="center"/>
          </w:tcPr>
          <w:p w14:paraId="66470D8C" w14:textId="77777777" w:rsidR="008A79A4" w:rsidRPr="008F35AB" w:rsidRDefault="008A79A4" w:rsidP="00BC47EA">
            <w:pPr>
              <w:tabs>
                <w:tab w:val="left" w:pos="11057"/>
              </w:tabs>
              <w:ind w:left="567"/>
              <w:rPr>
                <w:rFonts w:cstheme="minorHAnsi"/>
                <w:sz w:val="20"/>
                <w:szCs w:val="20"/>
              </w:rPr>
            </w:pPr>
          </w:p>
        </w:tc>
        <w:tc>
          <w:tcPr>
            <w:tcW w:w="1197" w:type="dxa"/>
            <w:tcBorders>
              <w:top w:val="nil"/>
              <w:left w:val="nil"/>
              <w:bottom w:val="single" w:sz="4" w:space="0" w:color="auto"/>
              <w:right w:val="nil"/>
            </w:tcBorders>
            <w:vAlign w:val="center"/>
          </w:tcPr>
          <w:p w14:paraId="4EDF9F28" w14:textId="77777777" w:rsidR="008A79A4" w:rsidRPr="008F35AB" w:rsidRDefault="008A79A4" w:rsidP="00BC47EA">
            <w:pPr>
              <w:tabs>
                <w:tab w:val="left" w:pos="11057"/>
              </w:tabs>
              <w:ind w:left="567"/>
              <w:rPr>
                <w:rFonts w:cstheme="minorHAnsi"/>
                <w:sz w:val="20"/>
                <w:szCs w:val="20"/>
              </w:rPr>
            </w:pPr>
          </w:p>
        </w:tc>
      </w:tr>
      <w:tr w:rsidR="008A79A4" w:rsidRPr="008F35AB" w14:paraId="32071BE9" w14:textId="77777777" w:rsidTr="00BB5E54">
        <w:trPr>
          <w:trHeight w:val="435"/>
        </w:trPr>
        <w:tc>
          <w:tcPr>
            <w:tcW w:w="3189" w:type="dxa"/>
            <w:tcBorders>
              <w:top w:val="nil"/>
              <w:left w:val="nil"/>
              <w:bottom w:val="nil"/>
              <w:right w:val="nil"/>
            </w:tcBorders>
            <w:shd w:val="clear" w:color="auto" w:fill="BFBFBF" w:themeFill="background1" w:themeFillShade="BF"/>
            <w:vAlign w:val="center"/>
          </w:tcPr>
          <w:p w14:paraId="649B55F0" w14:textId="77777777" w:rsidR="008A79A4" w:rsidRPr="008F35AB" w:rsidRDefault="008A79A4" w:rsidP="00BC47EA">
            <w:pPr>
              <w:tabs>
                <w:tab w:val="left" w:pos="11057"/>
              </w:tabs>
              <w:ind w:left="567"/>
              <w:rPr>
                <w:rFonts w:cstheme="minorHAnsi"/>
                <w:b/>
                <w:bCs/>
                <w:sz w:val="20"/>
                <w:szCs w:val="20"/>
              </w:rPr>
            </w:pPr>
            <w:r w:rsidRPr="008F35AB">
              <w:rPr>
                <w:rFonts w:cstheme="minorHAnsi"/>
                <w:b/>
                <w:bCs/>
                <w:sz w:val="20"/>
                <w:szCs w:val="20"/>
              </w:rPr>
              <w:t>NI Number</w:t>
            </w:r>
          </w:p>
        </w:tc>
        <w:tc>
          <w:tcPr>
            <w:tcW w:w="2644" w:type="dxa"/>
            <w:tcBorders>
              <w:left w:val="nil"/>
              <w:right w:val="nil"/>
            </w:tcBorders>
            <w:vAlign w:val="center"/>
          </w:tcPr>
          <w:p w14:paraId="363CD77E" w14:textId="77777777" w:rsidR="008A79A4" w:rsidRPr="008F35AB" w:rsidRDefault="008A79A4" w:rsidP="00BC47EA">
            <w:pPr>
              <w:tabs>
                <w:tab w:val="left" w:pos="11057"/>
              </w:tabs>
              <w:ind w:left="567"/>
              <w:rPr>
                <w:rFonts w:cstheme="minorHAnsi"/>
                <w:sz w:val="20"/>
                <w:szCs w:val="20"/>
              </w:rPr>
            </w:pPr>
          </w:p>
        </w:tc>
        <w:tc>
          <w:tcPr>
            <w:tcW w:w="1704" w:type="dxa"/>
            <w:tcBorders>
              <w:top w:val="nil"/>
              <w:left w:val="nil"/>
              <w:bottom w:val="nil"/>
              <w:right w:val="nil"/>
            </w:tcBorders>
            <w:shd w:val="clear" w:color="auto" w:fill="BFBFBF" w:themeFill="background1" w:themeFillShade="BF"/>
            <w:vAlign w:val="center"/>
          </w:tcPr>
          <w:p w14:paraId="5723C78D" w14:textId="77777777" w:rsidR="008A79A4" w:rsidRPr="008F35AB" w:rsidRDefault="008A79A4" w:rsidP="00BC47EA">
            <w:pPr>
              <w:tabs>
                <w:tab w:val="left" w:pos="11057"/>
              </w:tabs>
              <w:ind w:left="567"/>
              <w:rPr>
                <w:rFonts w:cstheme="minorHAnsi"/>
                <w:b/>
                <w:bCs/>
                <w:sz w:val="20"/>
                <w:szCs w:val="20"/>
              </w:rPr>
            </w:pPr>
            <w:r w:rsidRPr="008F35AB">
              <w:rPr>
                <w:rFonts w:cstheme="minorHAnsi"/>
                <w:b/>
                <w:bCs/>
                <w:sz w:val="20"/>
                <w:szCs w:val="20"/>
              </w:rPr>
              <w:t>Telephone Number</w:t>
            </w:r>
          </w:p>
        </w:tc>
        <w:tc>
          <w:tcPr>
            <w:tcW w:w="2953" w:type="dxa"/>
            <w:gridSpan w:val="5"/>
            <w:tcBorders>
              <w:top w:val="single" w:sz="4" w:space="0" w:color="auto"/>
              <w:left w:val="nil"/>
              <w:bottom w:val="single" w:sz="4" w:space="0" w:color="auto"/>
              <w:right w:val="nil"/>
            </w:tcBorders>
            <w:vAlign w:val="center"/>
          </w:tcPr>
          <w:p w14:paraId="12AB50B4" w14:textId="77777777" w:rsidR="008A79A4" w:rsidRPr="008F35AB" w:rsidRDefault="008A79A4" w:rsidP="00BC47EA">
            <w:pPr>
              <w:tabs>
                <w:tab w:val="left" w:pos="11057"/>
              </w:tabs>
              <w:ind w:left="567"/>
              <w:rPr>
                <w:rFonts w:cstheme="minorHAnsi"/>
                <w:sz w:val="20"/>
                <w:szCs w:val="20"/>
              </w:rPr>
            </w:pPr>
          </w:p>
          <w:p w14:paraId="5143D31F" w14:textId="77777777" w:rsidR="008A79A4" w:rsidRPr="008F35AB" w:rsidRDefault="008A79A4" w:rsidP="00BC47EA">
            <w:pPr>
              <w:tabs>
                <w:tab w:val="left" w:pos="11057"/>
              </w:tabs>
              <w:ind w:left="567"/>
              <w:rPr>
                <w:rFonts w:cstheme="minorHAnsi"/>
                <w:sz w:val="20"/>
                <w:szCs w:val="20"/>
              </w:rPr>
            </w:pPr>
          </w:p>
        </w:tc>
      </w:tr>
      <w:tr w:rsidR="008A79A4" w:rsidRPr="008F35AB" w14:paraId="774DC7CC" w14:textId="77777777" w:rsidTr="00BB5E54">
        <w:trPr>
          <w:trHeight w:val="435"/>
        </w:trPr>
        <w:tc>
          <w:tcPr>
            <w:tcW w:w="3189" w:type="dxa"/>
            <w:tcBorders>
              <w:top w:val="nil"/>
              <w:left w:val="nil"/>
              <w:bottom w:val="nil"/>
              <w:right w:val="nil"/>
            </w:tcBorders>
            <w:shd w:val="clear" w:color="auto" w:fill="BFBFBF" w:themeFill="background1" w:themeFillShade="BF"/>
            <w:vAlign w:val="center"/>
          </w:tcPr>
          <w:p w14:paraId="55C696B4" w14:textId="77777777" w:rsidR="008A79A4" w:rsidRPr="008F35AB" w:rsidRDefault="008A79A4" w:rsidP="00BC47EA">
            <w:pPr>
              <w:tabs>
                <w:tab w:val="left" w:pos="11057"/>
              </w:tabs>
              <w:ind w:left="567"/>
              <w:rPr>
                <w:rFonts w:cstheme="minorHAnsi"/>
                <w:b/>
                <w:bCs/>
                <w:sz w:val="20"/>
                <w:szCs w:val="20"/>
              </w:rPr>
            </w:pPr>
            <w:r w:rsidRPr="008F35AB">
              <w:rPr>
                <w:rFonts w:cstheme="minorHAnsi"/>
                <w:b/>
                <w:bCs/>
                <w:sz w:val="20"/>
                <w:szCs w:val="20"/>
              </w:rPr>
              <w:t>Address</w:t>
            </w:r>
          </w:p>
        </w:tc>
        <w:tc>
          <w:tcPr>
            <w:tcW w:w="2644" w:type="dxa"/>
            <w:tcBorders>
              <w:left w:val="nil"/>
              <w:right w:val="nil"/>
            </w:tcBorders>
            <w:vAlign w:val="center"/>
          </w:tcPr>
          <w:p w14:paraId="3E906828" w14:textId="77777777" w:rsidR="008A79A4" w:rsidRPr="008F35AB" w:rsidRDefault="008A79A4" w:rsidP="00BC47EA">
            <w:pPr>
              <w:tabs>
                <w:tab w:val="left" w:pos="11057"/>
              </w:tabs>
              <w:ind w:left="567"/>
              <w:rPr>
                <w:rFonts w:cstheme="minorHAnsi"/>
                <w:sz w:val="20"/>
                <w:szCs w:val="20"/>
              </w:rPr>
            </w:pPr>
          </w:p>
        </w:tc>
        <w:tc>
          <w:tcPr>
            <w:tcW w:w="1704" w:type="dxa"/>
            <w:tcBorders>
              <w:top w:val="nil"/>
              <w:left w:val="nil"/>
              <w:bottom w:val="nil"/>
              <w:right w:val="nil"/>
            </w:tcBorders>
            <w:shd w:val="clear" w:color="auto" w:fill="BFBFBF" w:themeFill="background1" w:themeFillShade="BF"/>
            <w:vAlign w:val="center"/>
          </w:tcPr>
          <w:p w14:paraId="44F8AE88" w14:textId="77777777" w:rsidR="008A79A4" w:rsidRPr="008F35AB" w:rsidRDefault="008A79A4" w:rsidP="00BC47EA">
            <w:pPr>
              <w:tabs>
                <w:tab w:val="left" w:pos="11057"/>
              </w:tabs>
              <w:ind w:left="567"/>
              <w:rPr>
                <w:rFonts w:cstheme="minorHAnsi"/>
                <w:b/>
                <w:bCs/>
                <w:sz w:val="20"/>
                <w:szCs w:val="20"/>
              </w:rPr>
            </w:pPr>
            <w:r w:rsidRPr="008F35AB">
              <w:rPr>
                <w:rFonts w:cstheme="minorHAnsi"/>
                <w:b/>
                <w:bCs/>
                <w:sz w:val="20"/>
                <w:szCs w:val="20"/>
              </w:rPr>
              <w:t>Postcode</w:t>
            </w:r>
          </w:p>
        </w:tc>
        <w:tc>
          <w:tcPr>
            <w:tcW w:w="2953" w:type="dxa"/>
            <w:gridSpan w:val="5"/>
            <w:tcBorders>
              <w:top w:val="single" w:sz="4" w:space="0" w:color="auto"/>
              <w:left w:val="nil"/>
              <w:bottom w:val="single" w:sz="4" w:space="0" w:color="auto"/>
              <w:right w:val="nil"/>
            </w:tcBorders>
            <w:vAlign w:val="center"/>
          </w:tcPr>
          <w:p w14:paraId="134C75BE" w14:textId="77777777" w:rsidR="008A79A4" w:rsidRPr="008F35AB" w:rsidRDefault="008A79A4" w:rsidP="00BC47EA">
            <w:pPr>
              <w:tabs>
                <w:tab w:val="left" w:pos="11057"/>
              </w:tabs>
              <w:ind w:left="567"/>
              <w:rPr>
                <w:rFonts w:cstheme="minorHAnsi"/>
                <w:sz w:val="20"/>
                <w:szCs w:val="20"/>
              </w:rPr>
            </w:pPr>
          </w:p>
        </w:tc>
      </w:tr>
      <w:tr w:rsidR="008A79A4" w:rsidRPr="008F35AB" w14:paraId="60627637" w14:textId="77777777" w:rsidTr="00BB5E54">
        <w:trPr>
          <w:trHeight w:val="435"/>
        </w:trPr>
        <w:tc>
          <w:tcPr>
            <w:tcW w:w="3189" w:type="dxa"/>
            <w:tcBorders>
              <w:top w:val="nil"/>
              <w:left w:val="nil"/>
              <w:bottom w:val="nil"/>
              <w:right w:val="nil"/>
            </w:tcBorders>
            <w:shd w:val="clear" w:color="auto" w:fill="BFBFBF" w:themeFill="background1" w:themeFillShade="BF"/>
            <w:vAlign w:val="center"/>
          </w:tcPr>
          <w:p w14:paraId="7DF6CBC6" w14:textId="77777777" w:rsidR="008A79A4" w:rsidRPr="008F35AB" w:rsidRDefault="008A79A4" w:rsidP="00BC47EA">
            <w:pPr>
              <w:tabs>
                <w:tab w:val="left" w:pos="11057"/>
              </w:tabs>
              <w:ind w:left="567"/>
              <w:rPr>
                <w:rFonts w:cstheme="minorHAnsi"/>
                <w:b/>
                <w:bCs/>
                <w:sz w:val="20"/>
                <w:szCs w:val="20"/>
              </w:rPr>
            </w:pPr>
            <w:r w:rsidRPr="008F35AB">
              <w:rPr>
                <w:rFonts w:cstheme="minorHAnsi"/>
                <w:b/>
                <w:bCs/>
                <w:sz w:val="20"/>
                <w:szCs w:val="20"/>
              </w:rPr>
              <w:t>Email Address for Remittance</w:t>
            </w:r>
          </w:p>
        </w:tc>
        <w:tc>
          <w:tcPr>
            <w:tcW w:w="7301" w:type="dxa"/>
            <w:gridSpan w:val="7"/>
            <w:tcBorders>
              <w:left w:val="nil"/>
              <w:right w:val="nil"/>
            </w:tcBorders>
            <w:vAlign w:val="center"/>
          </w:tcPr>
          <w:p w14:paraId="7FF47611" w14:textId="77777777" w:rsidR="008A79A4" w:rsidRPr="008F35AB" w:rsidRDefault="008A79A4" w:rsidP="00BC47EA">
            <w:pPr>
              <w:tabs>
                <w:tab w:val="left" w:pos="11057"/>
              </w:tabs>
              <w:ind w:left="567"/>
              <w:rPr>
                <w:rFonts w:cstheme="minorHAnsi"/>
                <w:sz w:val="20"/>
                <w:szCs w:val="20"/>
              </w:rPr>
            </w:pPr>
          </w:p>
        </w:tc>
      </w:tr>
    </w:tbl>
    <w:p w14:paraId="3C5E088D" w14:textId="77777777" w:rsidR="008A79A4" w:rsidRPr="008F35AB" w:rsidRDefault="008A79A4" w:rsidP="00BC47EA">
      <w:pPr>
        <w:tabs>
          <w:tab w:val="left" w:pos="11057"/>
        </w:tabs>
        <w:spacing w:after="0"/>
        <w:ind w:left="567" w:right="985"/>
        <w:rPr>
          <w:rFonts w:cstheme="minorHAnsi"/>
          <w:sz w:val="16"/>
          <w:szCs w:val="16"/>
        </w:rPr>
      </w:pPr>
    </w:p>
    <w:tbl>
      <w:tblPr>
        <w:tblStyle w:val="TableGrid"/>
        <w:tblpPr w:leftFromText="180" w:rightFromText="180" w:vertAnchor="text" w:horzAnchor="margin" w:tblpXSpec="center" w:tblpY="93"/>
        <w:tblW w:w="10597" w:type="dxa"/>
        <w:tblCellMar>
          <w:left w:w="0" w:type="dxa"/>
          <w:right w:w="0" w:type="dxa"/>
        </w:tblCellMar>
        <w:tblLook w:val="04A0" w:firstRow="1" w:lastRow="0" w:firstColumn="1" w:lastColumn="0" w:noHBand="0" w:noVBand="1"/>
      </w:tblPr>
      <w:tblGrid>
        <w:gridCol w:w="10597"/>
      </w:tblGrid>
      <w:tr w:rsidR="008A79A4" w:rsidRPr="008F35AB" w14:paraId="4C88016C" w14:textId="77777777" w:rsidTr="0032762B">
        <w:trPr>
          <w:trHeight w:val="734"/>
        </w:trPr>
        <w:tc>
          <w:tcPr>
            <w:tcW w:w="10597" w:type="dxa"/>
            <w:shd w:val="clear" w:color="auto" w:fill="2F5496" w:themeFill="accent1" w:themeFillShade="BF"/>
            <w:vAlign w:val="center"/>
          </w:tcPr>
          <w:p w14:paraId="7E7AEAA0" w14:textId="77777777" w:rsidR="008A79A4" w:rsidRPr="008F35AB" w:rsidRDefault="008A79A4" w:rsidP="0032762B">
            <w:pPr>
              <w:tabs>
                <w:tab w:val="left" w:pos="11057"/>
              </w:tabs>
              <w:ind w:left="567"/>
              <w:rPr>
                <w:rFonts w:cstheme="minorHAnsi"/>
                <w:b/>
                <w:color w:val="FFFFFF" w:themeColor="background1"/>
                <w:sz w:val="20"/>
                <w:szCs w:val="20"/>
              </w:rPr>
            </w:pPr>
            <w:r w:rsidRPr="008F35AB">
              <w:rPr>
                <w:rFonts w:cstheme="minorHAnsi"/>
                <w:b/>
                <w:color w:val="FFFFFF" w:themeColor="background1"/>
                <w:sz w:val="20"/>
                <w:szCs w:val="20"/>
              </w:rPr>
              <w:t>Description of Involvement</w:t>
            </w:r>
          </w:p>
        </w:tc>
      </w:tr>
      <w:tr w:rsidR="008A79A4" w:rsidRPr="008F35AB" w14:paraId="0346AF44" w14:textId="77777777" w:rsidTr="00BB5E54">
        <w:trPr>
          <w:trHeight w:val="3355"/>
        </w:trPr>
        <w:tc>
          <w:tcPr>
            <w:tcW w:w="10597" w:type="dxa"/>
          </w:tcPr>
          <w:p w14:paraId="18AB6B79" w14:textId="77777777" w:rsidR="008A79A4" w:rsidRPr="008F35AB" w:rsidRDefault="008A79A4" w:rsidP="0032762B">
            <w:pPr>
              <w:tabs>
                <w:tab w:val="left" w:pos="11057"/>
              </w:tabs>
              <w:ind w:left="567"/>
              <w:rPr>
                <w:rFonts w:cstheme="minorHAnsi"/>
                <w:sz w:val="18"/>
                <w:szCs w:val="18"/>
              </w:rPr>
            </w:pPr>
            <w:r w:rsidRPr="008F35AB">
              <w:rPr>
                <w:rFonts w:cstheme="minorHAnsi"/>
                <w:sz w:val="18"/>
                <w:szCs w:val="18"/>
              </w:rPr>
              <w:t xml:space="preserve">If attendance at meeting please </w:t>
            </w:r>
            <w:proofErr w:type="gramStart"/>
            <w:r w:rsidRPr="008F35AB">
              <w:rPr>
                <w:rFonts w:cstheme="minorHAnsi"/>
                <w:sz w:val="18"/>
                <w:szCs w:val="18"/>
              </w:rPr>
              <w:t>include:</w:t>
            </w:r>
            <w:proofErr w:type="gramEnd"/>
            <w:r w:rsidRPr="008F35AB">
              <w:rPr>
                <w:rFonts w:cstheme="minorHAnsi"/>
                <w:sz w:val="18"/>
                <w:szCs w:val="18"/>
              </w:rPr>
              <w:t xml:space="preserve"> date of meeting, place of meeting, name of meeting, time of arrival &amp; time of departure</w:t>
            </w:r>
          </w:p>
        </w:tc>
      </w:tr>
    </w:tbl>
    <w:p w14:paraId="49BE80EB" w14:textId="77777777" w:rsidR="008A79A4" w:rsidRPr="008F35AB" w:rsidRDefault="008A79A4" w:rsidP="00BC47EA">
      <w:pPr>
        <w:tabs>
          <w:tab w:val="left" w:pos="11057"/>
        </w:tabs>
        <w:spacing w:after="0"/>
        <w:ind w:left="567" w:right="985"/>
        <w:rPr>
          <w:rFonts w:cstheme="minorHAnsi"/>
          <w:sz w:val="16"/>
          <w:szCs w:val="16"/>
        </w:rPr>
      </w:pPr>
    </w:p>
    <w:tbl>
      <w:tblPr>
        <w:tblStyle w:val="TableGrid"/>
        <w:tblpPr w:leftFromText="180" w:rightFromText="180" w:vertAnchor="text" w:horzAnchor="margin" w:tblpXSpec="center" w:tblpY="93"/>
        <w:tblW w:w="10627" w:type="dxa"/>
        <w:tblCellMar>
          <w:left w:w="0" w:type="dxa"/>
          <w:right w:w="0" w:type="dxa"/>
        </w:tblCellMar>
        <w:tblLook w:val="04A0" w:firstRow="1" w:lastRow="0" w:firstColumn="1" w:lastColumn="0" w:noHBand="0" w:noVBand="1"/>
      </w:tblPr>
      <w:tblGrid>
        <w:gridCol w:w="2972"/>
        <w:gridCol w:w="4820"/>
        <w:gridCol w:w="1275"/>
        <w:gridCol w:w="1560"/>
      </w:tblGrid>
      <w:tr w:rsidR="008A79A4" w:rsidRPr="008F35AB" w14:paraId="69EC3AAD" w14:textId="77777777" w:rsidTr="009C2466">
        <w:trPr>
          <w:trHeight w:val="416"/>
        </w:trPr>
        <w:tc>
          <w:tcPr>
            <w:tcW w:w="2972" w:type="dxa"/>
            <w:shd w:val="clear" w:color="auto" w:fill="2F5496" w:themeFill="accent1" w:themeFillShade="BF"/>
            <w:vAlign w:val="center"/>
          </w:tcPr>
          <w:p w14:paraId="2C64A093" w14:textId="77777777" w:rsidR="008A79A4" w:rsidRPr="008F35AB" w:rsidRDefault="008A79A4" w:rsidP="00BC47EA">
            <w:pPr>
              <w:tabs>
                <w:tab w:val="left" w:pos="11057"/>
              </w:tabs>
              <w:ind w:left="567"/>
              <w:jc w:val="center"/>
              <w:rPr>
                <w:rFonts w:cstheme="minorHAnsi"/>
                <w:b/>
                <w:color w:val="FFFFFF" w:themeColor="background1"/>
                <w:sz w:val="20"/>
                <w:szCs w:val="20"/>
              </w:rPr>
            </w:pPr>
            <w:r w:rsidRPr="008F35AB">
              <w:rPr>
                <w:rFonts w:cstheme="minorHAnsi"/>
                <w:b/>
                <w:color w:val="FFFFFF" w:themeColor="background1"/>
                <w:sz w:val="20"/>
                <w:szCs w:val="20"/>
              </w:rPr>
              <w:t>Expenses Claimed</w:t>
            </w:r>
          </w:p>
        </w:tc>
        <w:tc>
          <w:tcPr>
            <w:tcW w:w="4820" w:type="dxa"/>
            <w:shd w:val="clear" w:color="auto" w:fill="2F5496" w:themeFill="accent1" w:themeFillShade="BF"/>
            <w:vAlign w:val="center"/>
          </w:tcPr>
          <w:p w14:paraId="2B70F2C8" w14:textId="77777777" w:rsidR="008A79A4" w:rsidRPr="008F35AB" w:rsidRDefault="008A79A4" w:rsidP="00BC47EA">
            <w:pPr>
              <w:tabs>
                <w:tab w:val="left" w:pos="11057"/>
              </w:tabs>
              <w:ind w:left="567"/>
              <w:jc w:val="center"/>
              <w:rPr>
                <w:rFonts w:cstheme="minorHAnsi"/>
                <w:b/>
                <w:color w:val="FFFFFF" w:themeColor="background1"/>
                <w:sz w:val="20"/>
                <w:szCs w:val="20"/>
              </w:rPr>
            </w:pPr>
            <w:r w:rsidRPr="008F35AB">
              <w:rPr>
                <w:rFonts w:cstheme="minorHAnsi"/>
                <w:b/>
                <w:color w:val="FFFFFF" w:themeColor="background1"/>
                <w:sz w:val="20"/>
                <w:szCs w:val="20"/>
              </w:rPr>
              <w:t>Detail</w:t>
            </w:r>
          </w:p>
        </w:tc>
        <w:tc>
          <w:tcPr>
            <w:tcW w:w="1275" w:type="dxa"/>
            <w:shd w:val="clear" w:color="auto" w:fill="2F5496" w:themeFill="accent1" w:themeFillShade="BF"/>
            <w:vAlign w:val="bottom"/>
          </w:tcPr>
          <w:p w14:paraId="271EB228" w14:textId="77777777" w:rsidR="008A79A4" w:rsidRPr="008F35AB" w:rsidRDefault="008A79A4" w:rsidP="00EA1D19">
            <w:pPr>
              <w:tabs>
                <w:tab w:val="left" w:pos="11057"/>
              </w:tabs>
              <w:jc w:val="center"/>
              <w:rPr>
                <w:rFonts w:cstheme="minorHAnsi"/>
                <w:b/>
                <w:color w:val="FFFFFF" w:themeColor="background1"/>
                <w:sz w:val="20"/>
                <w:szCs w:val="20"/>
              </w:rPr>
            </w:pPr>
            <w:r w:rsidRPr="008F35AB">
              <w:rPr>
                <w:rFonts w:cstheme="minorHAnsi"/>
                <w:b/>
                <w:color w:val="FFFFFF" w:themeColor="background1"/>
                <w:sz w:val="20"/>
                <w:szCs w:val="20"/>
              </w:rPr>
              <w:t>Receipt Attached</w:t>
            </w:r>
          </w:p>
        </w:tc>
        <w:tc>
          <w:tcPr>
            <w:tcW w:w="1560" w:type="dxa"/>
            <w:shd w:val="clear" w:color="auto" w:fill="2F5496" w:themeFill="accent1" w:themeFillShade="BF"/>
            <w:vAlign w:val="center"/>
          </w:tcPr>
          <w:p w14:paraId="5FA577A7" w14:textId="77777777" w:rsidR="008A79A4" w:rsidRPr="008F35AB" w:rsidRDefault="008A79A4" w:rsidP="00BC47EA">
            <w:pPr>
              <w:tabs>
                <w:tab w:val="left" w:pos="11057"/>
              </w:tabs>
              <w:ind w:left="567"/>
              <w:jc w:val="center"/>
              <w:rPr>
                <w:rFonts w:cstheme="minorHAnsi"/>
                <w:b/>
                <w:color w:val="FFFFFF" w:themeColor="background1"/>
                <w:sz w:val="20"/>
                <w:szCs w:val="20"/>
              </w:rPr>
            </w:pPr>
            <w:r w:rsidRPr="008F35AB">
              <w:rPr>
                <w:rFonts w:cstheme="minorHAnsi"/>
                <w:b/>
                <w:color w:val="FFFFFF" w:themeColor="background1"/>
                <w:sz w:val="20"/>
                <w:szCs w:val="20"/>
              </w:rPr>
              <w:t>£          p</w:t>
            </w:r>
          </w:p>
        </w:tc>
      </w:tr>
      <w:tr w:rsidR="008A79A4" w:rsidRPr="008F35AB" w14:paraId="2BAD9D83" w14:textId="77777777" w:rsidTr="00D12533">
        <w:trPr>
          <w:trHeight w:val="794"/>
        </w:trPr>
        <w:tc>
          <w:tcPr>
            <w:tcW w:w="2972" w:type="dxa"/>
            <w:vAlign w:val="center"/>
          </w:tcPr>
          <w:p w14:paraId="2693E61A"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rPr>
              <w:t>Mileage</w:t>
            </w:r>
          </w:p>
        </w:tc>
        <w:tc>
          <w:tcPr>
            <w:tcW w:w="4820" w:type="dxa"/>
            <w:vAlign w:val="center"/>
          </w:tcPr>
          <w:p w14:paraId="12EF3277"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u w:val="single"/>
              </w:rPr>
              <w:t xml:space="preserve">   ___         </w:t>
            </w:r>
            <w:r w:rsidRPr="008F35AB">
              <w:rPr>
                <w:rFonts w:cstheme="minorHAnsi"/>
                <w:sz w:val="20"/>
                <w:szCs w:val="20"/>
              </w:rPr>
              <w:t xml:space="preserve">  Miles @ 45 pence per mile =</w:t>
            </w:r>
          </w:p>
        </w:tc>
        <w:tc>
          <w:tcPr>
            <w:tcW w:w="1275" w:type="dxa"/>
            <w:shd w:val="clear" w:color="auto" w:fill="A6A6A6" w:themeFill="background1" w:themeFillShade="A6"/>
            <w:vAlign w:val="center"/>
          </w:tcPr>
          <w:p w14:paraId="7D6FA97D" w14:textId="77777777" w:rsidR="008A79A4" w:rsidRPr="008F35AB" w:rsidRDefault="008A79A4" w:rsidP="008F74CD">
            <w:pPr>
              <w:tabs>
                <w:tab w:val="left" w:pos="11057"/>
              </w:tabs>
              <w:ind w:left="567"/>
              <w:rPr>
                <w:rFonts w:cstheme="minorHAnsi"/>
                <w:sz w:val="20"/>
                <w:szCs w:val="20"/>
                <w:highlight w:val="darkGray"/>
              </w:rPr>
            </w:pPr>
          </w:p>
        </w:tc>
        <w:tc>
          <w:tcPr>
            <w:tcW w:w="1560" w:type="dxa"/>
            <w:vAlign w:val="center"/>
          </w:tcPr>
          <w:p w14:paraId="3FC60B55"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rPr>
              <w:t>:</w:t>
            </w:r>
          </w:p>
        </w:tc>
      </w:tr>
      <w:tr w:rsidR="008A79A4" w:rsidRPr="008F35AB" w14:paraId="2B9DDE9F" w14:textId="77777777" w:rsidTr="00D12533">
        <w:trPr>
          <w:trHeight w:val="794"/>
        </w:trPr>
        <w:tc>
          <w:tcPr>
            <w:tcW w:w="2972" w:type="dxa"/>
            <w:vAlign w:val="center"/>
          </w:tcPr>
          <w:p w14:paraId="3E807811"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rPr>
              <w:t>Other Travel</w:t>
            </w:r>
          </w:p>
        </w:tc>
        <w:tc>
          <w:tcPr>
            <w:tcW w:w="4820" w:type="dxa"/>
            <w:vAlign w:val="center"/>
          </w:tcPr>
          <w:p w14:paraId="618AF6F8" w14:textId="77777777" w:rsidR="008A79A4" w:rsidRPr="008F35AB" w:rsidRDefault="008A79A4" w:rsidP="00BC47EA">
            <w:pPr>
              <w:tabs>
                <w:tab w:val="left" w:pos="11057"/>
              </w:tabs>
              <w:ind w:left="567"/>
              <w:jc w:val="center"/>
              <w:rPr>
                <w:rFonts w:cstheme="minorHAnsi"/>
                <w:sz w:val="20"/>
                <w:szCs w:val="20"/>
              </w:rPr>
            </w:pPr>
          </w:p>
        </w:tc>
        <w:tc>
          <w:tcPr>
            <w:tcW w:w="1275" w:type="dxa"/>
            <w:vAlign w:val="center"/>
          </w:tcPr>
          <w:p w14:paraId="2B317D48" w14:textId="77777777" w:rsidR="008A79A4" w:rsidRPr="008F35AB" w:rsidRDefault="008A79A4" w:rsidP="00BC47EA">
            <w:pPr>
              <w:tabs>
                <w:tab w:val="left" w:pos="11057"/>
              </w:tabs>
              <w:ind w:left="567"/>
              <w:jc w:val="center"/>
              <w:rPr>
                <w:rFonts w:cstheme="minorHAnsi"/>
                <w:sz w:val="20"/>
                <w:szCs w:val="20"/>
              </w:rPr>
            </w:pPr>
          </w:p>
        </w:tc>
        <w:tc>
          <w:tcPr>
            <w:tcW w:w="1560" w:type="dxa"/>
            <w:vAlign w:val="center"/>
          </w:tcPr>
          <w:p w14:paraId="24A0104B"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rPr>
              <w:t>:</w:t>
            </w:r>
          </w:p>
        </w:tc>
      </w:tr>
      <w:tr w:rsidR="008A79A4" w:rsidRPr="008F35AB" w14:paraId="660F83F1" w14:textId="77777777" w:rsidTr="00D12533">
        <w:trPr>
          <w:trHeight w:val="794"/>
        </w:trPr>
        <w:tc>
          <w:tcPr>
            <w:tcW w:w="2972" w:type="dxa"/>
            <w:vAlign w:val="center"/>
          </w:tcPr>
          <w:p w14:paraId="62723747"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rPr>
              <w:t>Car Parking/Tolls etc</w:t>
            </w:r>
          </w:p>
        </w:tc>
        <w:tc>
          <w:tcPr>
            <w:tcW w:w="4820" w:type="dxa"/>
            <w:vAlign w:val="center"/>
          </w:tcPr>
          <w:p w14:paraId="52BF7D80" w14:textId="77777777" w:rsidR="008A79A4" w:rsidRPr="008F35AB" w:rsidRDefault="008A79A4" w:rsidP="00BC47EA">
            <w:pPr>
              <w:tabs>
                <w:tab w:val="left" w:pos="11057"/>
              </w:tabs>
              <w:ind w:left="567"/>
              <w:jc w:val="center"/>
              <w:rPr>
                <w:rFonts w:cstheme="minorHAnsi"/>
                <w:sz w:val="20"/>
                <w:szCs w:val="20"/>
              </w:rPr>
            </w:pPr>
          </w:p>
        </w:tc>
        <w:tc>
          <w:tcPr>
            <w:tcW w:w="1275" w:type="dxa"/>
            <w:vAlign w:val="center"/>
          </w:tcPr>
          <w:p w14:paraId="173E881F" w14:textId="77777777" w:rsidR="008A79A4" w:rsidRPr="008F35AB" w:rsidRDefault="008A79A4" w:rsidP="00BC47EA">
            <w:pPr>
              <w:tabs>
                <w:tab w:val="left" w:pos="11057"/>
              </w:tabs>
              <w:ind w:left="567"/>
              <w:jc w:val="center"/>
              <w:rPr>
                <w:rFonts w:cstheme="minorHAnsi"/>
                <w:sz w:val="20"/>
                <w:szCs w:val="20"/>
              </w:rPr>
            </w:pPr>
          </w:p>
        </w:tc>
        <w:tc>
          <w:tcPr>
            <w:tcW w:w="1560" w:type="dxa"/>
            <w:vAlign w:val="center"/>
          </w:tcPr>
          <w:p w14:paraId="54F8C0F6"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rPr>
              <w:t>:</w:t>
            </w:r>
          </w:p>
        </w:tc>
      </w:tr>
      <w:tr w:rsidR="008A79A4" w:rsidRPr="008F35AB" w14:paraId="326D150F" w14:textId="77777777" w:rsidTr="00D12533">
        <w:trPr>
          <w:trHeight w:val="794"/>
        </w:trPr>
        <w:tc>
          <w:tcPr>
            <w:tcW w:w="2972" w:type="dxa"/>
            <w:vAlign w:val="center"/>
          </w:tcPr>
          <w:p w14:paraId="7C45A7F0"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rPr>
              <w:t>Other Expenses</w:t>
            </w:r>
          </w:p>
        </w:tc>
        <w:tc>
          <w:tcPr>
            <w:tcW w:w="4820" w:type="dxa"/>
            <w:vAlign w:val="center"/>
          </w:tcPr>
          <w:p w14:paraId="174897E7" w14:textId="77777777" w:rsidR="008A79A4" w:rsidRPr="008F35AB" w:rsidRDefault="008A79A4" w:rsidP="00BC47EA">
            <w:pPr>
              <w:tabs>
                <w:tab w:val="left" w:pos="11057"/>
              </w:tabs>
              <w:ind w:left="567"/>
              <w:jc w:val="center"/>
              <w:rPr>
                <w:rFonts w:cstheme="minorHAnsi"/>
                <w:sz w:val="20"/>
                <w:szCs w:val="20"/>
              </w:rPr>
            </w:pPr>
          </w:p>
        </w:tc>
        <w:tc>
          <w:tcPr>
            <w:tcW w:w="1275" w:type="dxa"/>
            <w:vAlign w:val="center"/>
          </w:tcPr>
          <w:p w14:paraId="56F83A2E" w14:textId="77777777" w:rsidR="008A79A4" w:rsidRPr="008F35AB" w:rsidRDefault="008A79A4" w:rsidP="00BC47EA">
            <w:pPr>
              <w:tabs>
                <w:tab w:val="left" w:pos="11057"/>
              </w:tabs>
              <w:ind w:left="567"/>
              <w:jc w:val="center"/>
              <w:rPr>
                <w:rFonts w:cstheme="minorHAnsi"/>
                <w:sz w:val="20"/>
                <w:szCs w:val="20"/>
              </w:rPr>
            </w:pPr>
          </w:p>
        </w:tc>
        <w:tc>
          <w:tcPr>
            <w:tcW w:w="1560" w:type="dxa"/>
            <w:vAlign w:val="center"/>
          </w:tcPr>
          <w:p w14:paraId="0BDCD892"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rPr>
              <w:t>:</w:t>
            </w:r>
          </w:p>
        </w:tc>
      </w:tr>
      <w:tr w:rsidR="008A79A4" w:rsidRPr="008F35AB" w14:paraId="64C9065B" w14:textId="77777777" w:rsidTr="00D12533">
        <w:trPr>
          <w:trHeight w:val="794"/>
        </w:trPr>
        <w:tc>
          <w:tcPr>
            <w:tcW w:w="2972" w:type="dxa"/>
            <w:vAlign w:val="center"/>
          </w:tcPr>
          <w:p w14:paraId="1DCDA6E2"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rPr>
              <w:t>PPI Payment</w:t>
            </w:r>
          </w:p>
        </w:tc>
        <w:tc>
          <w:tcPr>
            <w:tcW w:w="4820" w:type="dxa"/>
            <w:vAlign w:val="center"/>
          </w:tcPr>
          <w:p w14:paraId="7587FC0C" w14:textId="77777777" w:rsidR="008A79A4" w:rsidRPr="008F35AB" w:rsidRDefault="008A79A4" w:rsidP="00BC47EA">
            <w:pPr>
              <w:tabs>
                <w:tab w:val="left" w:pos="11057"/>
              </w:tabs>
              <w:ind w:left="567"/>
              <w:jc w:val="center"/>
              <w:rPr>
                <w:rFonts w:cstheme="minorHAnsi"/>
                <w:sz w:val="20"/>
                <w:szCs w:val="20"/>
              </w:rPr>
            </w:pPr>
          </w:p>
        </w:tc>
        <w:tc>
          <w:tcPr>
            <w:tcW w:w="1275" w:type="dxa"/>
            <w:vAlign w:val="center"/>
          </w:tcPr>
          <w:p w14:paraId="7CDD514A" w14:textId="77777777" w:rsidR="008A79A4" w:rsidRPr="008F35AB" w:rsidRDefault="008A79A4" w:rsidP="00BC47EA">
            <w:pPr>
              <w:tabs>
                <w:tab w:val="left" w:pos="11057"/>
              </w:tabs>
              <w:ind w:left="567"/>
              <w:jc w:val="center"/>
              <w:rPr>
                <w:rFonts w:cstheme="minorHAnsi"/>
                <w:sz w:val="20"/>
                <w:szCs w:val="20"/>
              </w:rPr>
            </w:pPr>
          </w:p>
        </w:tc>
        <w:tc>
          <w:tcPr>
            <w:tcW w:w="1560" w:type="dxa"/>
            <w:vAlign w:val="center"/>
          </w:tcPr>
          <w:p w14:paraId="51848AAE"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rPr>
              <w:t>:</w:t>
            </w:r>
          </w:p>
        </w:tc>
      </w:tr>
      <w:tr w:rsidR="008A79A4" w:rsidRPr="008F35AB" w14:paraId="66FF5755" w14:textId="77777777" w:rsidTr="0033680B">
        <w:trPr>
          <w:trHeight w:val="519"/>
        </w:trPr>
        <w:tc>
          <w:tcPr>
            <w:tcW w:w="9067" w:type="dxa"/>
            <w:gridSpan w:val="3"/>
            <w:vAlign w:val="center"/>
          </w:tcPr>
          <w:p w14:paraId="0F05C666" w14:textId="77777777" w:rsidR="008A79A4" w:rsidRPr="008F35AB" w:rsidRDefault="008A79A4" w:rsidP="00BC47EA">
            <w:pPr>
              <w:tabs>
                <w:tab w:val="left" w:pos="11057"/>
              </w:tabs>
              <w:ind w:left="567"/>
              <w:jc w:val="center"/>
              <w:rPr>
                <w:rFonts w:cstheme="minorHAnsi"/>
                <w:sz w:val="20"/>
                <w:szCs w:val="20"/>
              </w:rPr>
            </w:pPr>
            <w:r w:rsidRPr="008F35AB">
              <w:rPr>
                <w:rFonts w:cstheme="minorHAnsi"/>
                <w:b/>
                <w:sz w:val="20"/>
                <w:szCs w:val="20"/>
              </w:rPr>
              <w:t>Agreed Payment Claimed</w:t>
            </w:r>
          </w:p>
        </w:tc>
        <w:tc>
          <w:tcPr>
            <w:tcW w:w="1560" w:type="dxa"/>
            <w:vAlign w:val="center"/>
          </w:tcPr>
          <w:p w14:paraId="6B98FBC3" w14:textId="77777777" w:rsidR="008A79A4" w:rsidRPr="008F35AB" w:rsidRDefault="008A79A4" w:rsidP="00BC47EA">
            <w:pPr>
              <w:tabs>
                <w:tab w:val="left" w:pos="11057"/>
              </w:tabs>
              <w:ind w:left="567"/>
              <w:jc w:val="center"/>
              <w:rPr>
                <w:rFonts w:cstheme="minorHAnsi"/>
                <w:sz w:val="20"/>
                <w:szCs w:val="20"/>
              </w:rPr>
            </w:pPr>
            <w:r w:rsidRPr="008F35AB">
              <w:rPr>
                <w:rFonts w:cstheme="minorHAnsi"/>
                <w:sz w:val="20"/>
                <w:szCs w:val="20"/>
              </w:rPr>
              <w:t>:</w:t>
            </w:r>
          </w:p>
        </w:tc>
      </w:tr>
    </w:tbl>
    <w:p w14:paraId="4809FEBF" w14:textId="224D5270" w:rsidR="008A79A4" w:rsidRDefault="008A79A4" w:rsidP="008A79A4">
      <w:pPr>
        <w:tabs>
          <w:tab w:val="left" w:pos="11057"/>
        </w:tabs>
        <w:spacing w:after="0"/>
        <w:ind w:right="985"/>
        <w:rPr>
          <w:rFonts w:cstheme="minorHAnsi"/>
          <w:sz w:val="16"/>
          <w:szCs w:val="16"/>
        </w:rPr>
      </w:pPr>
    </w:p>
    <w:p w14:paraId="50E9BB9E" w14:textId="77777777" w:rsidR="008A79A4" w:rsidRDefault="008A79A4" w:rsidP="008A79A4">
      <w:pPr>
        <w:tabs>
          <w:tab w:val="left" w:pos="11057"/>
        </w:tabs>
        <w:spacing w:after="0"/>
        <w:ind w:right="985"/>
        <w:rPr>
          <w:rFonts w:cstheme="minorHAnsi"/>
          <w:sz w:val="16"/>
          <w:szCs w:val="16"/>
        </w:rPr>
      </w:pPr>
    </w:p>
    <w:p w14:paraId="67BA4E5F" w14:textId="77777777" w:rsidR="008A79A4" w:rsidRDefault="008A79A4" w:rsidP="00BB5E54">
      <w:pPr>
        <w:tabs>
          <w:tab w:val="left" w:pos="11057"/>
        </w:tabs>
        <w:spacing w:after="0"/>
        <w:ind w:right="985"/>
        <w:rPr>
          <w:rFonts w:cstheme="minorHAnsi"/>
          <w:sz w:val="16"/>
          <w:szCs w:val="16"/>
        </w:rPr>
      </w:pPr>
    </w:p>
    <w:p w14:paraId="6BF3E618" w14:textId="77777777" w:rsidR="00226269" w:rsidRDefault="00226269" w:rsidP="00BB5E54">
      <w:pPr>
        <w:tabs>
          <w:tab w:val="left" w:pos="11057"/>
        </w:tabs>
        <w:spacing w:after="0"/>
        <w:ind w:right="985"/>
        <w:rPr>
          <w:rFonts w:cstheme="minorHAnsi"/>
          <w:sz w:val="16"/>
          <w:szCs w:val="16"/>
        </w:rPr>
      </w:pPr>
    </w:p>
    <w:p w14:paraId="4F5AD400" w14:textId="77777777" w:rsidR="00226269" w:rsidRPr="008F35AB" w:rsidRDefault="00226269" w:rsidP="00BB5E54">
      <w:pPr>
        <w:tabs>
          <w:tab w:val="left" w:pos="11057"/>
        </w:tabs>
        <w:spacing w:after="0"/>
        <w:ind w:right="985"/>
        <w:rPr>
          <w:rFonts w:cstheme="minorHAnsi"/>
          <w:sz w:val="16"/>
          <w:szCs w:val="16"/>
        </w:rPr>
      </w:pPr>
    </w:p>
    <w:tbl>
      <w:tblPr>
        <w:tblStyle w:val="TableGrid"/>
        <w:tblpPr w:leftFromText="180" w:rightFromText="180" w:vertAnchor="text" w:horzAnchor="margin" w:tblpXSpec="center" w:tblpY="39"/>
        <w:tblW w:w="10774" w:type="dxa"/>
        <w:tblBorders>
          <w:insideH w:val="none" w:sz="0" w:space="0" w:color="auto"/>
          <w:insideV w:val="none" w:sz="0" w:space="0" w:color="auto"/>
        </w:tblBorders>
        <w:tblLook w:val="04A0" w:firstRow="1" w:lastRow="0" w:firstColumn="1" w:lastColumn="0" w:noHBand="0" w:noVBand="1"/>
      </w:tblPr>
      <w:tblGrid>
        <w:gridCol w:w="3572"/>
        <w:gridCol w:w="2552"/>
        <w:gridCol w:w="2329"/>
        <w:gridCol w:w="2321"/>
      </w:tblGrid>
      <w:tr w:rsidR="008A79A4" w:rsidRPr="008F35AB" w14:paraId="5C747539" w14:textId="77777777" w:rsidTr="001040D0">
        <w:trPr>
          <w:trHeight w:val="853"/>
        </w:trPr>
        <w:tc>
          <w:tcPr>
            <w:tcW w:w="10774" w:type="dxa"/>
            <w:gridSpan w:val="4"/>
            <w:vAlign w:val="center"/>
          </w:tcPr>
          <w:p w14:paraId="5E9D87ED" w14:textId="1A899F34" w:rsidR="008A79A4" w:rsidRPr="008F35AB" w:rsidRDefault="008A79A4" w:rsidP="00BC47EA">
            <w:pPr>
              <w:ind w:left="567"/>
              <w:rPr>
                <w:rFonts w:cstheme="minorHAnsi"/>
                <w:sz w:val="20"/>
                <w:szCs w:val="20"/>
              </w:rPr>
            </w:pPr>
            <w:r>
              <w:rPr>
                <w:rFonts w:cstheme="minorHAnsi"/>
                <w:sz w:val="20"/>
                <w:szCs w:val="20"/>
              </w:rPr>
              <w:lastRenderedPageBreak/>
              <w:t>Participant Declaration</w:t>
            </w:r>
          </w:p>
        </w:tc>
      </w:tr>
      <w:tr w:rsidR="008A79A4" w:rsidRPr="008F35AB" w14:paraId="55C8D88E" w14:textId="77777777" w:rsidTr="001040D0">
        <w:trPr>
          <w:trHeight w:val="853"/>
        </w:trPr>
        <w:tc>
          <w:tcPr>
            <w:tcW w:w="10774" w:type="dxa"/>
            <w:gridSpan w:val="4"/>
            <w:vAlign w:val="center"/>
          </w:tcPr>
          <w:p w14:paraId="1629E6D6" w14:textId="5440DC61" w:rsidR="008A79A4" w:rsidRPr="00BB5E54" w:rsidRDefault="008A79A4" w:rsidP="00BC47EA">
            <w:pPr>
              <w:ind w:left="567"/>
              <w:rPr>
                <w:rFonts w:asciiTheme="minorHAnsi" w:hAnsiTheme="minorHAnsi" w:cstheme="minorHAnsi"/>
                <w:sz w:val="18"/>
                <w:szCs w:val="18"/>
              </w:rPr>
            </w:pPr>
            <w:r w:rsidRPr="00BB5E54">
              <w:rPr>
                <w:rFonts w:asciiTheme="minorHAnsi" w:hAnsiTheme="minorHAnsi" w:cstheme="minorHAnsi"/>
                <w:sz w:val="18"/>
                <w:szCs w:val="18"/>
              </w:rPr>
              <w:t xml:space="preserve">I </w:t>
            </w:r>
            <w:r w:rsidR="00B44520">
              <w:rPr>
                <w:rFonts w:asciiTheme="minorHAnsi" w:hAnsiTheme="minorHAnsi" w:cstheme="minorHAnsi"/>
                <w:sz w:val="18"/>
                <w:szCs w:val="18"/>
              </w:rPr>
              <w:t>confirm</w:t>
            </w:r>
            <w:r w:rsidRPr="00BB5E54">
              <w:rPr>
                <w:rFonts w:asciiTheme="minorHAnsi" w:hAnsiTheme="minorHAnsi" w:cstheme="minorHAnsi"/>
                <w:sz w:val="18"/>
                <w:szCs w:val="18"/>
              </w:rPr>
              <w:t xml:space="preserve"> that:</w:t>
            </w:r>
          </w:p>
          <w:p w14:paraId="60895F48" w14:textId="09D0D57B" w:rsidR="008A79A4" w:rsidRPr="001040D0" w:rsidRDefault="008A79A4" w:rsidP="001040D0">
            <w:pPr>
              <w:pStyle w:val="Heading2"/>
              <w:numPr>
                <w:ilvl w:val="0"/>
                <w:numId w:val="29"/>
              </w:numPr>
              <w:rPr>
                <w:rFonts w:asciiTheme="minorHAnsi" w:eastAsiaTheme="minorHAnsi" w:hAnsiTheme="minorHAnsi" w:cstheme="minorHAnsi"/>
                <w:sz w:val="18"/>
                <w:szCs w:val="18"/>
              </w:rPr>
            </w:pPr>
            <w:r w:rsidRPr="001040D0">
              <w:rPr>
                <w:rFonts w:asciiTheme="minorHAnsi" w:eastAsiaTheme="minorHAnsi" w:hAnsiTheme="minorHAnsi" w:cstheme="minorHAnsi"/>
                <w:sz w:val="18"/>
                <w:szCs w:val="18"/>
              </w:rPr>
              <w:t xml:space="preserve">I </w:t>
            </w:r>
            <w:r w:rsidR="00B44520">
              <w:rPr>
                <w:rFonts w:asciiTheme="minorHAnsi" w:eastAsiaTheme="minorHAnsi" w:hAnsiTheme="minorHAnsi" w:cstheme="minorHAnsi"/>
                <w:sz w:val="18"/>
                <w:szCs w:val="18"/>
              </w:rPr>
              <w:t>had to spend money on travel and meals</w:t>
            </w:r>
            <w:r w:rsidR="007C0055">
              <w:rPr>
                <w:rFonts w:asciiTheme="minorHAnsi" w:eastAsiaTheme="minorHAnsi" w:hAnsiTheme="minorHAnsi" w:cstheme="minorHAnsi"/>
                <w:sz w:val="18"/>
                <w:szCs w:val="18"/>
              </w:rPr>
              <w:t xml:space="preserve"> so I could take part in approved activities with Cardiff </w:t>
            </w:r>
            <w:r w:rsidRPr="001040D0">
              <w:rPr>
                <w:rFonts w:asciiTheme="minorHAnsi" w:eastAsiaTheme="minorHAnsi" w:hAnsiTheme="minorHAnsi" w:cstheme="minorHAnsi"/>
                <w:sz w:val="18"/>
                <w:szCs w:val="18"/>
              </w:rPr>
              <w:t>Metropolitan University.</w:t>
            </w:r>
          </w:p>
          <w:p w14:paraId="11192833" w14:textId="79028D40" w:rsidR="008A79A4" w:rsidRPr="001040D0" w:rsidRDefault="008A79A4" w:rsidP="001040D0">
            <w:pPr>
              <w:pStyle w:val="Heading2"/>
              <w:numPr>
                <w:ilvl w:val="0"/>
                <w:numId w:val="29"/>
              </w:numPr>
              <w:rPr>
                <w:rFonts w:asciiTheme="minorHAnsi" w:eastAsiaTheme="minorHAnsi" w:hAnsiTheme="minorHAnsi" w:cstheme="minorHAnsi"/>
                <w:sz w:val="18"/>
                <w:szCs w:val="18"/>
              </w:rPr>
            </w:pPr>
            <w:r w:rsidRPr="001040D0">
              <w:rPr>
                <w:rFonts w:asciiTheme="minorHAnsi" w:eastAsiaTheme="minorHAnsi" w:hAnsiTheme="minorHAnsi" w:cstheme="minorHAnsi"/>
                <w:sz w:val="18"/>
                <w:szCs w:val="18"/>
              </w:rPr>
              <w:t xml:space="preserve">I have paid the </w:t>
            </w:r>
            <w:r w:rsidR="007C0055">
              <w:rPr>
                <w:rFonts w:asciiTheme="minorHAnsi" w:eastAsiaTheme="minorHAnsi" w:hAnsiTheme="minorHAnsi" w:cstheme="minorHAnsi"/>
                <w:sz w:val="18"/>
                <w:szCs w:val="18"/>
              </w:rPr>
              <w:t>costs listed as expenses on this form</w:t>
            </w:r>
            <w:r w:rsidRPr="001040D0">
              <w:rPr>
                <w:rFonts w:asciiTheme="minorHAnsi" w:eastAsiaTheme="minorHAnsi" w:hAnsiTheme="minorHAnsi" w:cstheme="minorHAnsi"/>
                <w:sz w:val="18"/>
                <w:szCs w:val="18"/>
              </w:rPr>
              <w:t>.</w:t>
            </w:r>
          </w:p>
          <w:p w14:paraId="0D27D43E" w14:textId="0EACAA92" w:rsidR="008A79A4" w:rsidRPr="001040D0" w:rsidRDefault="008A79A4" w:rsidP="001040D0">
            <w:pPr>
              <w:pStyle w:val="Heading2"/>
              <w:numPr>
                <w:ilvl w:val="0"/>
                <w:numId w:val="29"/>
              </w:numPr>
              <w:rPr>
                <w:rFonts w:asciiTheme="minorHAnsi" w:eastAsiaTheme="minorHAnsi" w:hAnsiTheme="minorHAnsi" w:cstheme="minorHAnsi"/>
                <w:sz w:val="18"/>
                <w:szCs w:val="18"/>
              </w:rPr>
            </w:pPr>
            <w:r w:rsidRPr="001040D0">
              <w:rPr>
                <w:rFonts w:asciiTheme="minorHAnsi" w:eastAsiaTheme="minorHAnsi" w:hAnsiTheme="minorHAnsi" w:cstheme="minorHAnsi"/>
                <w:sz w:val="18"/>
                <w:szCs w:val="18"/>
              </w:rPr>
              <w:t xml:space="preserve">The amounts </w:t>
            </w:r>
            <w:r w:rsidR="007C0055">
              <w:rPr>
                <w:rFonts w:asciiTheme="minorHAnsi" w:eastAsiaTheme="minorHAnsi" w:hAnsiTheme="minorHAnsi" w:cstheme="minorHAnsi"/>
                <w:sz w:val="18"/>
                <w:szCs w:val="18"/>
              </w:rPr>
              <w:t>I am claiming follow the approved payment rates</w:t>
            </w:r>
            <w:r w:rsidRPr="001040D0">
              <w:rPr>
                <w:rFonts w:asciiTheme="minorHAnsi" w:eastAsiaTheme="minorHAnsi" w:hAnsiTheme="minorHAnsi" w:cstheme="minorHAnsi"/>
                <w:sz w:val="18"/>
                <w:szCs w:val="18"/>
              </w:rPr>
              <w:t>.</w:t>
            </w:r>
          </w:p>
          <w:p w14:paraId="4C060C57" w14:textId="77777777" w:rsidR="008A79A4" w:rsidRPr="001040D0" w:rsidRDefault="008A79A4" w:rsidP="0032762B">
            <w:pPr>
              <w:ind w:left="567"/>
              <w:rPr>
                <w:rFonts w:asciiTheme="minorHAnsi" w:hAnsiTheme="minorHAnsi" w:cstheme="minorHAnsi"/>
                <w:sz w:val="18"/>
                <w:szCs w:val="18"/>
              </w:rPr>
            </w:pPr>
          </w:p>
          <w:p w14:paraId="1F1439D4" w14:textId="50D0C59D" w:rsidR="008A79A4" w:rsidRPr="001040D0" w:rsidRDefault="008A79A4" w:rsidP="0032762B">
            <w:pPr>
              <w:ind w:left="567"/>
              <w:rPr>
                <w:rFonts w:asciiTheme="minorHAnsi" w:hAnsiTheme="minorHAnsi" w:cstheme="minorHAnsi"/>
                <w:sz w:val="18"/>
                <w:szCs w:val="18"/>
              </w:rPr>
            </w:pPr>
            <w:r w:rsidRPr="001040D0">
              <w:rPr>
                <w:rFonts w:asciiTheme="minorHAnsi" w:hAnsiTheme="minorHAnsi" w:cstheme="minorHAnsi"/>
                <w:sz w:val="18"/>
                <w:szCs w:val="18"/>
              </w:rPr>
              <w:t xml:space="preserve">I </w:t>
            </w:r>
            <w:r w:rsidR="007C0055">
              <w:rPr>
                <w:rFonts w:asciiTheme="minorHAnsi" w:hAnsiTheme="minorHAnsi" w:cstheme="minorHAnsi"/>
                <w:sz w:val="18"/>
                <w:szCs w:val="18"/>
              </w:rPr>
              <w:t>understand that</w:t>
            </w:r>
            <w:r w:rsidRPr="001040D0">
              <w:rPr>
                <w:rFonts w:asciiTheme="minorHAnsi" w:hAnsiTheme="minorHAnsi" w:cstheme="minorHAnsi"/>
                <w:sz w:val="18"/>
                <w:szCs w:val="18"/>
              </w:rPr>
              <w:t>:</w:t>
            </w:r>
          </w:p>
          <w:p w14:paraId="65FB33C9" w14:textId="1EF1D100" w:rsidR="008A79A4" w:rsidRPr="001040D0" w:rsidRDefault="008A79A4" w:rsidP="001040D0">
            <w:pPr>
              <w:pStyle w:val="ListParagraph"/>
              <w:numPr>
                <w:ilvl w:val="0"/>
                <w:numId w:val="30"/>
              </w:numPr>
              <w:rPr>
                <w:rFonts w:asciiTheme="minorHAnsi" w:hAnsiTheme="minorHAnsi" w:cstheme="minorHAnsi"/>
                <w:sz w:val="18"/>
                <w:szCs w:val="18"/>
              </w:rPr>
            </w:pPr>
            <w:r w:rsidRPr="001040D0">
              <w:rPr>
                <w:rFonts w:asciiTheme="minorHAnsi" w:hAnsiTheme="minorHAnsi" w:cstheme="minorHAnsi"/>
                <w:sz w:val="18"/>
                <w:szCs w:val="18"/>
              </w:rPr>
              <w:t xml:space="preserve">The payment </w:t>
            </w:r>
            <w:r w:rsidR="007C0055">
              <w:rPr>
                <w:rFonts w:asciiTheme="minorHAnsi" w:hAnsiTheme="minorHAnsi" w:cstheme="minorHAnsi"/>
                <w:sz w:val="18"/>
                <w:szCs w:val="18"/>
              </w:rPr>
              <w:t xml:space="preserve">I </w:t>
            </w:r>
            <w:r w:rsidRPr="001040D0">
              <w:rPr>
                <w:rFonts w:asciiTheme="minorHAnsi" w:hAnsiTheme="minorHAnsi" w:cstheme="minorHAnsi"/>
                <w:sz w:val="18"/>
                <w:szCs w:val="18"/>
              </w:rPr>
              <w:t xml:space="preserve">receive may </w:t>
            </w:r>
            <w:r w:rsidR="00504E5E">
              <w:rPr>
                <w:rFonts w:asciiTheme="minorHAnsi" w:hAnsiTheme="minorHAnsi" w:cstheme="minorHAnsi"/>
                <w:sz w:val="18"/>
                <w:szCs w:val="18"/>
              </w:rPr>
              <w:t xml:space="preserve">count as </w:t>
            </w:r>
            <w:r w:rsidRPr="001040D0">
              <w:rPr>
                <w:rFonts w:asciiTheme="minorHAnsi" w:hAnsiTheme="minorHAnsi" w:cstheme="minorHAnsi"/>
                <w:sz w:val="18"/>
                <w:szCs w:val="18"/>
              </w:rPr>
              <w:t>taxable income</w:t>
            </w:r>
            <w:r w:rsidR="00FA2B1D">
              <w:rPr>
                <w:rFonts w:asciiTheme="minorHAnsi" w:hAnsiTheme="minorHAnsi" w:cstheme="minorHAnsi"/>
                <w:sz w:val="18"/>
                <w:szCs w:val="18"/>
              </w:rPr>
              <w:t>, particularly if it</w:t>
            </w:r>
            <w:r w:rsidR="00150C85">
              <w:rPr>
                <w:rFonts w:asciiTheme="minorHAnsi" w:hAnsiTheme="minorHAnsi" w:cstheme="minorHAnsi"/>
                <w:sz w:val="18"/>
                <w:szCs w:val="18"/>
              </w:rPr>
              <w:t xml:space="preserve"> exceeds reasonable costs incurred in participating in the project.  If this is the case, i</w:t>
            </w:r>
            <w:r w:rsidRPr="001040D0">
              <w:rPr>
                <w:rFonts w:asciiTheme="minorHAnsi" w:hAnsiTheme="minorHAnsi" w:cstheme="minorHAnsi"/>
                <w:sz w:val="18"/>
                <w:szCs w:val="18"/>
              </w:rPr>
              <w:t xml:space="preserve">t is my responsibility to </w:t>
            </w:r>
            <w:r w:rsidR="00504E5E">
              <w:rPr>
                <w:rFonts w:asciiTheme="minorHAnsi" w:hAnsiTheme="minorHAnsi" w:cstheme="minorHAnsi"/>
                <w:sz w:val="18"/>
                <w:szCs w:val="18"/>
              </w:rPr>
              <w:t>report this income and pay any Income Tax or National Insurance if needed</w:t>
            </w:r>
            <w:r w:rsidRPr="001040D0">
              <w:rPr>
                <w:rFonts w:asciiTheme="minorHAnsi" w:hAnsiTheme="minorHAnsi" w:cstheme="minorHAnsi"/>
                <w:sz w:val="18"/>
                <w:szCs w:val="18"/>
              </w:rPr>
              <w:t>.</w:t>
            </w:r>
          </w:p>
          <w:p w14:paraId="70FE8194" w14:textId="1E55ED76" w:rsidR="008A79A4" w:rsidRPr="001040D0" w:rsidRDefault="00743754" w:rsidP="001040D0">
            <w:pPr>
              <w:pStyle w:val="ListParagraph"/>
              <w:numPr>
                <w:ilvl w:val="0"/>
                <w:numId w:val="30"/>
              </w:numPr>
              <w:rPr>
                <w:rFonts w:asciiTheme="minorHAnsi" w:hAnsiTheme="minorHAnsi" w:cstheme="minorHAnsi"/>
                <w:sz w:val="18"/>
                <w:szCs w:val="18"/>
              </w:rPr>
            </w:pPr>
            <w:r>
              <w:rPr>
                <w:rFonts w:asciiTheme="minorHAnsi" w:hAnsiTheme="minorHAnsi" w:cstheme="minorHAnsi"/>
                <w:sz w:val="18"/>
                <w:szCs w:val="18"/>
              </w:rPr>
              <w:t>The amount I receive includes anything that might be needed for tax.  Cardiff Metropolitan University is not responsible for any tax I may owe</w:t>
            </w:r>
            <w:r w:rsidR="008A79A4" w:rsidRPr="001040D0">
              <w:rPr>
                <w:rFonts w:asciiTheme="minorHAnsi" w:hAnsiTheme="minorHAnsi" w:cstheme="minorHAnsi"/>
                <w:sz w:val="18"/>
                <w:szCs w:val="18"/>
              </w:rPr>
              <w:t>.</w:t>
            </w:r>
          </w:p>
          <w:p w14:paraId="6EBE099E" w14:textId="40162AC1" w:rsidR="008A79A4" w:rsidRPr="00BB5E54" w:rsidRDefault="005F19DB" w:rsidP="001040D0">
            <w:pPr>
              <w:pStyle w:val="ListParagraph"/>
              <w:numPr>
                <w:ilvl w:val="0"/>
                <w:numId w:val="30"/>
              </w:numPr>
              <w:rPr>
                <w:rStyle w:val="Hyperlink"/>
                <w:rFonts w:asciiTheme="minorHAnsi" w:hAnsiTheme="minorHAnsi" w:cstheme="minorHAnsi"/>
                <w:sz w:val="18"/>
                <w:szCs w:val="18"/>
              </w:rPr>
            </w:pPr>
            <w:r>
              <w:rPr>
                <w:rFonts w:asciiTheme="minorHAnsi" w:hAnsiTheme="minorHAnsi" w:cstheme="minorHAnsi"/>
                <w:sz w:val="18"/>
                <w:szCs w:val="18"/>
              </w:rPr>
              <w:t>I can get more advice on this from</w:t>
            </w:r>
            <w:r w:rsidR="008A79A4" w:rsidRPr="001040D0">
              <w:rPr>
                <w:rFonts w:asciiTheme="minorHAnsi" w:hAnsiTheme="minorHAnsi" w:cstheme="minorHAnsi"/>
                <w:sz w:val="18"/>
                <w:szCs w:val="18"/>
              </w:rPr>
              <w:t xml:space="preserve"> </w:t>
            </w:r>
            <w:hyperlink r:id="rId19" w:history="1">
              <w:r w:rsidR="008A79A4" w:rsidRPr="00BB5E54">
                <w:rPr>
                  <w:rStyle w:val="Hyperlink"/>
                  <w:rFonts w:asciiTheme="minorHAnsi" w:hAnsiTheme="minorHAnsi" w:cstheme="minorHAnsi"/>
                  <w:sz w:val="18"/>
                  <w:szCs w:val="18"/>
                </w:rPr>
                <w:t>HMRC’s Employment Income Manual</w:t>
              </w:r>
            </w:hyperlink>
            <w:r w:rsidR="008A79A4" w:rsidRPr="00BB5E54">
              <w:rPr>
                <w:rStyle w:val="Hyperlink"/>
                <w:rFonts w:asciiTheme="minorHAnsi" w:hAnsiTheme="minorHAnsi" w:cstheme="minorHAnsi"/>
                <w:sz w:val="18"/>
                <w:szCs w:val="18"/>
              </w:rPr>
              <w:t>.</w:t>
            </w:r>
          </w:p>
          <w:p w14:paraId="0B83E02C" w14:textId="2F0B46B5" w:rsidR="008A79A4" w:rsidRPr="00BB5E54" w:rsidRDefault="005F19DB" w:rsidP="001040D0">
            <w:pPr>
              <w:pStyle w:val="ListParagraph"/>
              <w:numPr>
                <w:ilvl w:val="0"/>
                <w:numId w:val="30"/>
              </w:numPr>
              <w:rPr>
                <w:rFonts w:asciiTheme="minorHAnsi" w:hAnsiTheme="minorHAnsi" w:cstheme="minorHAnsi"/>
                <w:sz w:val="18"/>
                <w:szCs w:val="18"/>
              </w:rPr>
            </w:pPr>
            <w:r>
              <w:rPr>
                <w:rFonts w:asciiTheme="minorHAnsi" w:hAnsiTheme="minorHAnsi" w:cstheme="minorHAnsi"/>
                <w:sz w:val="18"/>
                <w:szCs w:val="18"/>
              </w:rPr>
              <w:t>If I receive</w:t>
            </w:r>
            <w:r w:rsidR="008A79A4" w:rsidRPr="00BB5E54">
              <w:rPr>
                <w:rFonts w:asciiTheme="minorHAnsi" w:hAnsiTheme="minorHAnsi" w:cstheme="minorHAnsi"/>
                <w:sz w:val="18"/>
                <w:szCs w:val="18"/>
              </w:rPr>
              <w:t xml:space="preserve"> state benefit, </w:t>
            </w:r>
            <w:r>
              <w:rPr>
                <w:rFonts w:asciiTheme="minorHAnsi" w:hAnsiTheme="minorHAnsi" w:cstheme="minorHAnsi"/>
                <w:sz w:val="18"/>
                <w:szCs w:val="18"/>
              </w:rPr>
              <w:t xml:space="preserve">I can get free, </w:t>
            </w:r>
            <w:r w:rsidR="008A79A4" w:rsidRPr="00BB5E54">
              <w:rPr>
                <w:rFonts w:asciiTheme="minorHAnsi" w:hAnsiTheme="minorHAnsi" w:cstheme="minorHAnsi"/>
                <w:sz w:val="18"/>
                <w:szCs w:val="18"/>
              </w:rPr>
              <w:t>confidential advice</w:t>
            </w:r>
            <w:r w:rsidR="00822ABF">
              <w:rPr>
                <w:rFonts w:asciiTheme="minorHAnsi" w:hAnsiTheme="minorHAnsi" w:cstheme="minorHAnsi"/>
                <w:sz w:val="18"/>
                <w:szCs w:val="18"/>
              </w:rPr>
              <w:t xml:space="preserve"> from </w:t>
            </w:r>
            <w:r w:rsidR="008A79A4" w:rsidRPr="00BB5E54">
              <w:rPr>
                <w:rFonts w:asciiTheme="minorHAnsi" w:hAnsiTheme="minorHAnsi" w:cstheme="minorHAnsi"/>
                <w:sz w:val="18"/>
                <w:szCs w:val="18"/>
              </w:rPr>
              <w:t xml:space="preserve">the </w:t>
            </w:r>
            <w:hyperlink r:id="rId20" w:history="1">
              <w:r w:rsidR="008A79A4" w:rsidRPr="00BB5E54">
                <w:rPr>
                  <w:rStyle w:val="Hyperlink"/>
                  <w:rFonts w:asciiTheme="minorHAnsi" w:hAnsiTheme="minorHAnsi" w:cstheme="minorHAnsi"/>
                  <w:sz w:val="18"/>
                  <w:szCs w:val="18"/>
                </w:rPr>
                <w:t>Benefits Advice Service for Involvement</w:t>
              </w:r>
            </w:hyperlink>
          </w:p>
          <w:p w14:paraId="5D3BAF81" w14:textId="77777777" w:rsidR="008A79A4" w:rsidRPr="00BB5E54" w:rsidRDefault="008A79A4" w:rsidP="00BC47EA">
            <w:pPr>
              <w:tabs>
                <w:tab w:val="left" w:pos="11057"/>
              </w:tabs>
              <w:ind w:left="567" w:right="985"/>
              <w:rPr>
                <w:rFonts w:asciiTheme="minorHAnsi" w:hAnsiTheme="minorHAnsi" w:cstheme="minorHAnsi"/>
                <w:sz w:val="18"/>
                <w:szCs w:val="18"/>
              </w:rPr>
            </w:pPr>
          </w:p>
        </w:tc>
      </w:tr>
      <w:tr w:rsidR="008A79A4" w:rsidRPr="008F35AB" w14:paraId="34BBED7C" w14:textId="77777777" w:rsidTr="008A79A4">
        <w:trPr>
          <w:trHeight w:val="381"/>
        </w:trPr>
        <w:tc>
          <w:tcPr>
            <w:tcW w:w="3572" w:type="dxa"/>
            <w:vAlign w:val="center"/>
          </w:tcPr>
          <w:p w14:paraId="1528A09F" w14:textId="77777777" w:rsidR="008A79A4" w:rsidRPr="001040D0" w:rsidRDefault="008A79A4" w:rsidP="00BC47EA">
            <w:pPr>
              <w:tabs>
                <w:tab w:val="left" w:pos="11057"/>
              </w:tabs>
              <w:ind w:left="567"/>
              <w:rPr>
                <w:rFonts w:cstheme="minorHAnsi"/>
                <w:sz w:val="22"/>
                <w:szCs w:val="20"/>
              </w:rPr>
            </w:pPr>
            <w:r w:rsidRPr="001040D0">
              <w:rPr>
                <w:rFonts w:cstheme="minorHAnsi"/>
                <w:sz w:val="22"/>
                <w:szCs w:val="20"/>
              </w:rPr>
              <w:t>Signature of</w:t>
            </w:r>
          </w:p>
          <w:p w14:paraId="52A6AFDA" w14:textId="77777777" w:rsidR="008A79A4" w:rsidRPr="001040D0" w:rsidRDefault="008A79A4" w:rsidP="00BC47EA">
            <w:pPr>
              <w:tabs>
                <w:tab w:val="left" w:pos="11057"/>
              </w:tabs>
              <w:ind w:left="567"/>
              <w:rPr>
                <w:rFonts w:cstheme="minorHAnsi"/>
                <w:sz w:val="22"/>
                <w:szCs w:val="20"/>
              </w:rPr>
            </w:pPr>
            <w:r w:rsidRPr="001040D0">
              <w:rPr>
                <w:rFonts w:cstheme="minorHAnsi"/>
                <w:sz w:val="22"/>
                <w:szCs w:val="20"/>
              </w:rPr>
              <w:t xml:space="preserve">Claimant  </w:t>
            </w:r>
          </w:p>
          <w:p w14:paraId="5FB531F5" w14:textId="77777777" w:rsidR="008A79A4" w:rsidRPr="001040D0" w:rsidRDefault="008A79A4" w:rsidP="00BC47EA">
            <w:pPr>
              <w:tabs>
                <w:tab w:val="left" w:pos="11057"/>
              </w:tabs>
              <w:ind w:left="567"/>
              <w:rPr>
                <w:rFonts w:cstheme="minorHAnsi"/>
                <w:sz w:val="22"/>
                <w:szCs w:val="20"/>
              </w:rPr>
            </w:pPr>
          </w:p>
        </w:tc>
        <w:tc>
          <w:tcPr>
            <w:tcW w:w="2552" w:type="dxa"/>
            <w:vAlign w:val="center"/>
          </w:tcPr>
          <w:p w14:paraId="454A7632" w14:textId="77777777" w:rsidR="008A79A4" w:rsidRPr="001040D0" w:rsidRDefault="008A79A4" w:rsidP="00BC47EA">
            <w:pPr>
              <w:tabs>
                <w:tab w:val="left" w:pos="11057"/>
              </w:tabs>
              <w:ind w:left="567" w:right="985"/>
              <w:rPr>
                <w:rFonts w:cstheme="minorHAnsi"/>
                <w:sz w:val="22"/>
                <w:szCs w:val="20"/>
              </w:rPr>
            </w:pPr>
          </w:p>
          <w:p w14:paraId="54A52F1C" w14:textId="77777777" w:rsidR="008A79A4" w:rsidRPr="001040D0" w:rsidRDefault="008A79A4" w:rsidP="00BC47EA">
            <w:pPr>
              <w:tabs>
                <w:tab w:val="left" w:pos="11057"/>
              </w:tabs>
              <w:ind w:left="567" w:right="985"/>
              <w:rPr>
                <w:rFonts w:cstheme="minorHAnsi"/>
                <w:sz w:val="22"/>
                <w:szCs w:val="20"/>
              </w:rPr>
            </w:pPr>
          </w:p>
        </w:tc>
        <w:tc>
          <w:tcPr>
            <w:tcW w:w="2329" w:type="dxa"/>
            <w:vAlign w:val="center"/>
          </w:tcPr>
          <w:p w14:paraId="600D21EE" w14:textId="77777777" w:rsidR="008A79A4" w:rsidRPr="001040D0" w:rsidRDefault="008A79A4" w:rsidP="00BC47EA">
            <w:pPr>
              <w:tabs>
                <w:tab w:val="left" w:pos="11057"/>
              </w:tabs>
              <w:ind w:left="567"/>
              <w:jc w:val="right"/>
              <w:rPr>
                <w:rFonts w:cstheme="minorHAnsi"/>
                <w:sz w:val="22"/>
                <w:szCs w:val="20"/>
              </w:rPr>
            </w:pPr>
            <w:r w:rsidRPr="001040D0">
              <w:rPr>
                <w:rFonts w:cstheme="minorHAnsi"/>
                <w:sz w:val="22"/>
                <w:szCs w:val="20"/>
              </w:rPr>
              <w:t>Date</w:t>
            </w:r>
          </w:p>
        </w:tc>
        <w:tc>
          <w:tcPr>
            <w:tcW w:w="2321" w:type="dxa"/>
            <w:vAlign w:val="center"/>
          </w:tcPr>
          <w:p w14:paraId="72DBA2B7" w14:textId="77777777" w:rsidR="008A79A4" w:rsidRPr="001040D0" w:rsidRDefault="008A79A4" w:rsidP="00BC47EA">
            <w:pPr>
              <w:tabs>
                <w:tab w:val="left" w:pos="11057"/>
              </w:tabs>
              <w:ind w:left="567" w:right="985"/>
              <w:rPr>
                <w:rFonts w:cstheme="minorHAnsi"/>
                <w:sz w:val="22"/>
                <w:szCs w:val="20"/>
              </w:rPr>
            </w:pPr>
          </w:p>
        </w:tc>
      </w:tr>
    </w:tbl>
    <w:p w14:paraId="42588C99" w14:textId="77777777" w:rsidR="008A79A4" w:rsidRDefault="008A79A4" w:rsidP="008A79A4">
      <w:pPr>
        <w:tabs>
          <w:tab w:val="left" w:pos="11057"/>
        </w:tabs>
        <w:spacing w:after="0"/>
        <w:ind w:left="567" w:right="985"/>
        <w:rPr>
          <w:rFonts w:cstheme="minorHAnsi"/>
          <w:sz w:val="22"/>
        </w:rPr>
      </w:pPr>
      <w:r w:rsidRPr="008F35AB">
        <w:rPr>
          <w:rFonts w:cstheme="minorHAnsi"/>
          <w:sz w:val="22"/>
        </w:rPr>
        <w:t xml:space="preserve"> </w:t>
      </w:r>
    </w:p>
    <w:p w14:paraId="629263A0" w14:textId="22EEE875" w:rsidR="008A79A4" w:rsidRPr="008F35AB" w:rsidRDefault="008A79A4" w:rsidP="00BB5E54">
      <w:pPr>
        <w:tabs>
          <w:tab w:val="left" w:pos="11057"/>
        </w:tabs>
        <w:spacing w:after="0"/>
        <w:ind w:left="567" w:right="985"/>
        <w:rPr>
          <w:rFonts w:cstheme="minorHAnsi"/>
        </w:rPr>
      </w:pPr>
      <w:r w:rsidRPr="008F35AB">
        <w:rPr>
          <w:rFonts w:cstheme="minorHAnsi"/>
          <w:sz w:val="32"/>
          <w:szCs w:val="32"/>
        </w:rPr>
        <w:t>Bank Details</w:t>
      </w:r>
    </w:p>
    <w:tbl>
      <w:tblPr>
        <w:tblStyle w:val="TableGrid"/>
        <w:tblW w:w="10774" w:type="dxa"/>
        <w:tblInd w:w="-851" w:type="dxa"/>
        <w:tblLook w:val="04A0" w:firstRow="1" w:lastRow="0" w:firstColumn="1" w:lastColumn="0" w:noHBand="0" w:noVBand="1"/>
      </w:tblPr>
      <w:tblGrid>
        <w:gridCol w:w="2991"/>
        <w:gridCol w:w="2983"/>
        <w:gridCol w:w="2232"/>
        <w:gridCol w:w="2568"/>
      </w:tblGrid>
      <w:tr w:rsidR="008A79A4" w:rsidRPr="008F35AB" w14:paraId="117DA80D" w14:textId="77777777" w:rsidTr="00BB5E54">
        <w:trPr>
          <w:gridAfter w:val="1"/>
          <w:wAfter w:w="2568" w:type="dxa"/>
          <w:trHeight w:val="408"/>
        </w:trPr>
        <w:tc>
          <w:tcPr>
            <w:tcW w:w="2991" w:type="dxa"/>
            <w:tcBorders>
              <w:top w:val="nil"/>
              <w:left w:val="nil"/>
              <w:bottom w:val="nil"/>
              <w:right w:val="nil"/>
            </w:tcBorders>
            <w:shd w:val="clear" w:color="auto" w:fill="F2F2F2" w:themeFill="background1" w:themeFillShade="F2"/>
            <w:vAlign w:val="center"/>
          </w:tcPr>
          <w:p w14:paraId="2504DBD3" w14:textId="77777777" w:rsidR="008A79A4" w:rsidRPr="008F35AB" w:rsidRDefault="008A79A4" w:rsidP="007B17C4">
            <w:pPr>
              <w:tabs>
                <w:tab w:val="left" w:pos="11057"/>
              </w:tabs>
              <w:ind w:left="567"/>
              <w:rPr>
                <w:rFonts w:cstheme="minorHAnsi"/>
                <w:sz w:val="20"/>
                <w:szCs w:val="20"/>
              </w:rPr>
            </w:pPr>
            <w:r w:rsidRPr="008F35AB">
              <w:rPr>
                <w:rFonts w:cstheme="minorHAnsi"/>
                <w:sz w:val="20"/>
                <w:szCs w:val="20"/>
              </w:rPr>
              <w:t>Name</w:t>
            </w:r>
          </w:p>
        </w:tc>
        <w:tc>
          <w:tcPr>
            <w:tcW w:w="2983" w:type="dxa"/>
            <w:tcBorders>
              <w:top w:val="nil"/>
              <w:left w:val="nil"/>
              <w:right w:val="nil"/>
            </w:tcBorders>
            <w:vAlign w:val="center"/>
          </w:tcPr>
          <w:p w14:paraId="4671FA4E" w14:textId="77777777" w:rsidR="008A79A4" w:rsidRPr="008F35AB" w:rsidRDefault="008A79A4" w:rsidP="007B17C4">
            <w:pPr>
              <w:tabs>
                <w:tab w:val="left" w:pos="11057"/>
              </w:tabs>
              <w:ind w:left="567"/>
              <w:rPr>
                <w:rFonts w:cstheme="minorHAnsi"/>
                <w:sz w:val="20"/>
                <w:szCs w:val="20"/>
              </w:rPr>
            </w:pPr>
          </w:p>
        </w:tc>
        <w:tc>
          <w:tcPr>
            <w:tcW w:w="2232" w:type="dxa"/>
            <w:tcBorders>
              <w:top w:val="nil"/>
              <w:left w:val="nil"/>
              <w:bottom w:val="nil"/>
              <w:right w:val="single" w:sz="4" w:space="0" w:color="auto"/>
            </w:tcBorders>
            <w:shd w:val="clear" w:color="auto" w:fill="A6A6A6" w:themeFill="background1" w:themeFillShade="A6"/>
            <w:vAlign w:val="center"/>
          </w:tcPr>
          <w:p w14:paraId="1D9C5536" w14:textId="77777777" w:rsidR="008A79A4" w:rsidRPr="008F35AB" w:rsidRDefault="008A79A4" w:rsidP="007B17C4">
            <w:pPr>
              <w:tabs>
                <w:tab w:val="left" w:pos="11057"/>
              </w:tabs>
              <w:ind w:left="567"/>
              <w:rPr>
                <w:rFonts w:cstheme="minorHAnsi"/>
                <w:b/>
                <w:sz w:val="20"/>
                <w:szCs w:val="20"/>
              </w:rPr>
            </w:pPr>
            <w:r w:rsidRPr="008F35AB">
              <w:rPr>
                <w:rFonts w:cstheme="minorHAnsi"/>
                <w:b/>
                <w:sz w:val="20"/>
                <w:szCs w:val="20"/>
              </w:rPr>
              <w:t>For Finance Use only</w:t>
            </w:r>
          </w:p>
        </w:tc>
      </w:tr>
      <w:tr w:rsidR="008A79A4" w:rsidRPr="008F35AB" w14:paraId="23D98A05" w14:textId="77777777" w:rsidTr="00BB5E54">
        <w:trPr>
          <w:trHeight w:val="408"/>
        </w:trPr>
        <w:tc>
          <w:tcPr>
            <w:tcW w:w="2991" w:type="dxa"/>
            <w:tcBorders>
              <w:top w:val="nil"/>
              <w:left w:val="nil"/>
              <w:bottom w:val="nil"/>
              <w:right w:val="nil"/>
            </w:tcBorders>
            <w:shd w:val="clear" w:color="auto" w:fill="F2F2F2" w:themeFill="background1" w:themeFillShade="F2"/>
            <w:vAlign w:val="center"/>
          </w:tcPr>
          <w:p w14:paraId="1CA4AD60" w14:textId="77777777" w:rsidR="008A79A4" w:rsidRPr="008F35AB" w:rsidRDefault="008A79A4" w:rsidP="007B17C4">
            <w:pPr>
              <w:tabs>
                <w:tab w:val="left" w:pos="11057"/>
              </w:tabs>
              <w:ind w:left="567"/>
              <w:rPr>
                <w:rFonts w:cstheme="minorHAnsi"/>
                <w:sz w:val="20"/>
                <w:szCs w:val="20"/>
              </w:rPr>
            </w:pPr>
            <w:r w:rsidRPr="008F35AB">
              <w:rPr>
                <w:rFonts w:cstheme="minorHAnsi"/>
                <w:sz w:val="20"/>
                <w:szCs w:val="20"/>
              </w:rPr>
              <w:t>Account Number</w:t>
            </w:r>
          </w:p>
        </w:tc>
        <w:tc>
          <w:tcPr>
            <w:tcW w:w="2983" w:type="dxa"/>
            <w:tcBorders>
              <w:left w:val="nil"/>
              <w:right w:val="nil"/>
            </w:tcBorders>
            <w:vAlign w:val="center"/>
          </w:tcPr>
          <w:p w14:paraId="749C0D9E" w14:textId="77777777" w:rsidR="008A79A4" w:rsidRPr="008F35AB" w:rsidRDefault="008A79A4" w:rsidP="007B17C4">
            <w:pPr>
              <w:tabs>
                <w:tab w:val="left" w:pos="11057"/>
              </w:tabs>
              <w:ind w:left="567"/>
              <w:rPr>
                <w:rFonts w:cstheme="minorHAnsi"/>
                <w:sz w:val="20"/>
                <w:szCs w:val="20"/>
              </w:rPr>
            </w:pPr>
          </w:p>
        </w:tc>
        <w:tc>
          <w:tcPr>
            <w:tcW w:w="2232" w:type="dxa"/>
            <w:tcBorders>
              <w:top w:val="nil"/>
              <w:left w:val="nil"/>
              <w:bottom w:val="nil"/>
              <w:right w:val="nil"/>
            </w:tcBorders>
            <w:shd w:val="clear" w:color="auto" w:fill="A6A6A6" w:themeFill="background1" w:themeFillShade="A6"/>
            <w:vAlign w:val="center"/>
          </w:tcPr>
          <w:p w14:paraId="21C36D1F" w14:textId="77777777" w:rsidR="008A79A4" w:rsidRPr="008F35AB" w:rsidRDefault="008A79A4" w:rsidP="007B17C4">
            <w:pPr>
              <w:tabs>
                <w:tab w:val="left" w:pos="11057"/>
              </w:tabs>
              <w:ind w:left="567"/>
              <w:rPr>
                <w:rFonts w:cstheme="minorHAnsi"/>
                <w:sz w:val="20"/>
                <w:szCs w:val="20"/>
              </w:rPr>
            </w:pPr>
            <w:r w:rsidRPr="008F35AB">
              <w:rPr>
                <w:rFonts w:cstheme="minorHAnsi"/>
                <w:sz w:val="20"/>
                <w:szCs w:val="20"/>
              </w:rPr>
              <w:t xml:space="preserve">Date </w:t>
            </w:r>
          </w:p>
        </w:tc>
        <w:tc>
          <w:tcPr>
            <w:tcW w:w="2568" w:type="dxa"/>
            <w:tcBorders>
              <w:top w:val="single" w:sz="4" w:space="0" w:color="auto"/>
              <w:left w:val="nil"/>
              <w:bottom w:val="single" w:sz="4" w:space="0" w:color="auto"/>
              <w:right w:val="nil"/>
            </w:tcBorders>
            <w:shd w:val="clear" w:color="auto" w:fill="A6A6A6" w:themeFill="background1" w:themeFillShade="A6"/>
            <w:vAlign w:val="center"/>
          </w:tcPr>
          <w:p w14:paraId="613E0884" w14:textId="77777777" w:rsidR="008A79A4" w:rsidRPr="008F35AB" w:rsidRDefault="008A79A4" w:rsidP="007B17C4">
            <w:pPr>
              <w:tabs>
                <w:tab w:val="left" w:pos="11057"/>
              </w:tabs>
              <w:ind w:left="567"/>
              <w:rPr>
                <w:rFonts w:cstheme="minorHAnsi"/>
                <w:sz w:val="20"/>
                <w:szCs w:val="20"/>
              </w:rPr>
            </w:pPr>
          </w:p>
        </w:tc>
      </w:tr>
      <w:tr w:rsidR="008A79A4" w:rsidRPr="008F35AB" w14:paraId="5B1E62A8" w14:textId="77777777" w:rsidTr="00BB5E54">
        <w:trPr>
          <w:trHeight w:val="408"/>
        </w:trPr>
        <w:tc>
          <w:tcPr>
            <w:tcW w:w="2991" w:type="dxa"/>
            <w:tcBorders>
              <w:top w:val="nil"/>
              <w:left w:val="nil"/>
              <w:bottom w:val="nil"/>
              <w:right w:val="nil"/>
            </w:tcBorders>
            <w:shd w:val="clear" w:color="auto" w:fill="F2F2F2" w:themeFill="background1" w:themeFillShade="F2"/>
            <w:vAlign w:val="center"/>
          </w:tcPr>
          <w:p w14:paraId="6B90A207" w14:textId="77777777" w:rsidR="008A79A4" w:rsidRPr="008F35AB" w:rsidRDefault="008A79A4" w:rsidP="007B17C4">
            <w:pPr>
              <w:tabs>
                <w:tab w:val="left" w:pos="11057"/>
              </w:tabs>
              <w:ind w:left="567"/>
              <w:rPr>
                <w:rFonts w:cstheme="minorHAnsi"/>
                <w:sz w:val="20"/>
                <w:szCs w:val="20"/>
              </w:rPr>
            </w:pPr>
            <w:r w:rsidRPr="008F35AB">
              <w:rPr>
                <w:rFonts w:cstheme="minorHAnsi"/>
                <w:sz w:val="20"/>
                <w:szCs w:val="20"/>
              </w:rPr>
              <w:t>Sort Code</w:t>
            </w:r>
          </w:p>
        </w:tc>
        <w:tc>
          <w:tcPr>
            <w:tcW w:w="2983" w:type="dxa"/>
            <w:tcBorders>
              <w:left w:val="nil"/>
              <w:right w:val="nil"/>
            </w:tcBorders>
            <w:vAlign w:val="center"/>
          </w:tcPr>
          <w:p w14:paraId="26A4D9EF" w14:textId="77777777" w:rsidR="008A79A4" w:rsidRPr="008F35AB" w:rsidRDefault="008A79A4" w:rsidP="007B17C4">
            <w:pPr>
              <w:tabs>
                <w:tab w:val="left" w:pos="11057"/>
              </w:tabs>
              <w:ind w:left="567"/>
              <w:rPr>
                <w:rFonts w:cstheme="minorHAnsi"/>
                <w:sz w:val="20"/>
                <w:szCs w:val="20"/>
              </w:rPr>
            </w:pPr>
          </w:p>
        </w:tc>
        <w:tc>
          <w:tcPr>
            <w:tcW w:w="2232" w:type="dxa"/>
            <w:tcBorders>
              <w:top w:val="nil"/>
              <w:left w:val="nil"/>
              <w:bottom w:val="nil"/>
              <w:right w:val="nil"/>
            </w:tcBorders>
            <w:shd w:val="clear" w:color="auto" w:fill="A6A6A6" w:themeFill="background1" w:themeFillShade="A6"/>
            <w:vAlign w:val="center"/>
          </w:tcPr>
          <w:p w14:paraId="1D49752D" w14:textId="77777777" w:rsidR="008A79A4" w:rsidRPr="008F35AB" w:rsidRDefault="008A79A4" w:rsidP="007B17C4">
            <w:pPr>
              <w:tabs>
                <w:tab w:val="left" w:pos="11057"/>
              </w:tabs>
              <w:ind w:left="567"/>
              <w:rPr>
                <w:rFonts w:cstheme="minorHAnsi"/>
                <w:sz w:val="20"/>
                <w:szCs w:val="20"/>
              </w:rPr>
            </w:pPr>
            <w:r w:rsidRPr="008F35AB">
              <w:rPr>
                <w:rFonts w:cstheme="minorHAnsi"/>
                <w:sz w:val="20"/>
                <w:szCs w:val="20"/>
              </w:rPr>
              <w:t>Confirmed by</w:t>
            </w:r>
          </w:p>
        </w:tc>
        <w:tc>
          <w:tcPr>
            <w:tcW w:w="2568" w:type="dxa"/>
            <w:tcBorders>
              <w:top w:val="single" w:sz="4" w:space="0" w:color="auto"/>
              <w:left w:val="nil"/>
              <w:bottom w:val="single" w:sz="4" w:space="0" w:color="auto"/>
              <w:right w:val="nil"/>
            </w:tcBorders>
            <w:shd w:val="clear" w:color="auto" w:fill="A6A6A6" w:themeFill="background1" w:themeFillShade="A6"/>
            <w:vAlign w:val="center"/>
          </w:tcPr>
          <w:p w14:paraId="2621008A" w14:textId="77777777" w:rsidR="008A79A4" w:rsidRPr="008F35AB" w:rsidRDefault="008A79A4" w:rsidP="007B17C4">
            <w:pPr>
              <w:tabs>
                <w:tab w:val="left" w:pos="11057"/>
              </w:tabs>
              <w:ind w:left="567"/>
              <w:rPr>
                <w:rFonts w:cstheme="minorHAnsi"/>
                <w:sz w:val="16"/>
                <w:szCs w:val="16"/>
              </w:rPr>
            </w:pPr>
            <w:r w:rsidRPr="008F35AB">
              <w:rPr>
                <w:rFonts w:cstheme="minorHAnsi"/>
                <w:sz w:val="16"/>
                <w:szCs w:val="16"/>
              </w:rPr>
              <w:t xml:space="preserve">                        </w:t>
            </w:r>
          </w:p>
        </w:tc>
      </w:tr>
    </w:tbl>
    <w:p w14:paraId="37BBAD89" w14:textId="77777777" w:rsidR="008A79A4" w:rsidRPr="008F35AB" w:rsidRDefault="008A79A4" w:rsidP="008A79A4">
      <w:pPr>
        <w:tabs>
          <w:tab w:val="left" w:pos="11057"/>
        </w:tabs>
        <w:ind w:left="567" w:right="985"/>
        <w:rPr>
          <w:rFonts w:cstheme="minorHAnsi"/>
          <w:sz w:val="20"/>
          <w:szCs w:val="20"/>
        </w:rPr>
      </w:pPr>
      <w:r w:rsidRPr="008F35AB">
        <w:rPr>
          <w:rFonts w:cstheme="minorHAnsi"/>
          <w:sz w:val="20"/>
          <w:szCs w:val="32"/>
        </w:rPr>
        <w:t>Payments can only be made into an account in the individual’s name.</w:t>
      </w:r>
    </w:p>
    <w:p w14:paraId="7EE5A49C" w14:textId="753F48CF" w:rsidR="008A79A4" w:rsidRPr="008F35AB" w:rsidRDefault="008A79A4" w:rsidP="00D917C3">
      <w:pPr>
        <w:tabs>
          <w:tab w:val="left" w:pos="11057"/>
        </w:tabs>
        <w:spacing w:after="0"/>
        <w:ind w:right="985"/>
        <w:rPr>
          <w:rFonts w:cstheme="minorHAnsi"/>
        </w:rPr>
      </w:pPr>
    </w:p>
    <w:tbl>
      <w:tblPr>
        <w:tblStyle w:val="TableGrid"/>
        <w:tblpPr w:leftFromText="180" w:rightFromText="180" w:vertAnchor="text" w:tblpX="-5" w:tblpY="1"/>
        <w:tblOverlap w:val="never"/>
        <w:tblW w:w="9067" w:type="dxa"/>
        <w:tblLook w:val="04A0" w:firstRow="1" w:lastRow="0" w:firstColumn="1" w:lastColumn="0" w:noHBand="0" w:noVBand="1"/>
      </w:tblPr>
      <w:tblGrid>
        <w:gridCol w:w="3392"/>
        <w:gridCol w:w="5675"/>
      </w:tblGrid>
      <w:tr w:rsidR="008A79A4" w:rsidRPr="008F35AB" w14:paraId="36CB0D99" w14:textId="77777777" w:rsidTr="00BB5E54">
        <w:trPr>
          <w:trHeight w:val="722"/>
        </w:trPr>
        <w:tc>
          <w:tcPr>
            <w:tcW w:w="3392" w:type="dxa"/>
            <w:vAlign w:val="center"/>
          </w:tcPr>
          <w:p w14:paraId="4AE8F001" w14:textId="77777777" w:rsidR="008A79A4" w:rsidRPr="008F35AB" w:rsidRDefault="008A79A4" w:rsidP="008A79A4">
            <w:pPr>
              <w:tabs>
                <w:tab w:val="left" w:pos="11057"/>
              </w:tabs>
              <w:ind w:right="985"/>
              <w:rPr>
                <w:rFonts w:cstheme="minorHAnsi"/>
              </w:rPr>
            </w:pPr>
            <w:r w:rsidRPr="008F35AB">
              <w:rPr>
                <w:rFonts w:cstheme="minorHAnsi"/>
              </w:rPr>
              <w:t>Approved by (print name)</w:t>
            </w:r>
          </w:p>
        </w:tc>
        <w:tc>
          <w:tcPr>
            <w:tcW w:w="5675" w:type="dxa"/>
          </w:tcPr>
          <w:p w14:paraId="654C2F9A" w14:textId="77777777" w:rsidR="008A79A4" w:rsidRPr="008F35AB" w:rsidRDefault="008A79A4" w:rsidP="008A79A4">
            <w:pPr>
              <w:tabs>
                <w:tab w:val="left" w:pos="11057"/>
              </w:tabs>
              <w:ind w:right="985"/>
              <w:rPr>
                <w:rFonts w:cstheme="minorHAnsi"/>
              </w:rPr>
            </w:pPr>
          </w:p>
        </w:tc>
      </w:tr>
      <w:tr w:rsidR="008A79A4" w:rsidRPr="008F35AB" w14:paraId="4665DA33" w14:textId="77777777" w:rsidTr="00BB5E54">
        <w:trPr>
          <w:trHeight w:val="722"/>
        </w:trPr>
        <w:tc>
          <w:tcPr>
            <w:tcW w:w="3392" w:type="dxa"/>
            <w:vAlign w:val="center"/>
          </w:tcPr>
          <w:p w14:paraId="26D57A94" w14:textId="77777777" w:rsidR="008A79A4" w:rsidRPr="008F35AB" w:rsidRDefault="008A79A4" w:rsidP="008A79A4">
            <w:pPr>
              <w:tabs>
                <w:tab w:val="left" w:pos="11057"/>
              </w:tabs>
              <w:ind w:right="985"/>
              <w:rPr>
                <w:rFonts w:cstheme="minorHAnsi"/>
              </w:rPr>
            </w:pPr>
            <w:r w:rsidRPr="008F35AB">
              <w:rPr>
                <w:rFonts w:cstheme="minorHAnsi"/>
              </w:rPr>
              <w:t>Signature</w:t>
            </w:r>
          </w:p>
        </w:tc>
        <w:tc>
          <w:tcPr>
            <w:tcW w:w="5675" w:type="dxa"/>
          </w:tcPr>
          <w:p w14:paraId="66CC4AFE" w14:textId="77777777" w:rsidR="008A79A4" w:rsidRPr="008F35AB" w:rsidRDefault="008A79A4" w:rsidP="008A79A4">
            <w:pPr>
              <w:tabs>
                <w:tab w:val="left" w:pos="11057"/>
              </w:tabs>
              <w:ind w:right="985"/>
              <w:rPr>
                <w:rFonts w:cstheme="minorHAnsi"/>
              </w:rPr>
            </w:pPr>
          </w:p>
        </w:tc>
      </w:tr>
      <w:tr w:rsidR="008A79A4" w:rsidRPr="008F35AB" w14:paraId="4192C649" w14:textId="77777777" w:rsidTr="00BB5E54">
        <w:trPr>
          <w:trHeight w:val="722"/>
        </w:trPr>
        <w:tc>
          <w:tcPr>
            <w:tcW w:w="3392" w:type="dxa"/>
            <w:vAlign w:val="center"/>
          </w:tcPr>
          <w:p w14:paraId="4C70ADE5" w14:textId="77777777" w:rsidR="008A79A4" w:rsidRPr="008F35AB" w:rsidRDefault="008A79A4" w:rsidP="008A79A4">
            <w:pPr>
              <w:tabs>
                <w:tab w:val="left" w:pos="11057"/>
              </w:tabs>
              <w:ind w:right="985"/>
              <w:rPr>
                <w:rFonts w:cstheme="minorHAnsi"/>
              </w:rPr>
            </w:pPr>
            <w:r w:rsidRPr="008F35AB">
              <w:rPr>
                <w:rFonts w:cstheme="minorHAnsi"/>
              </w:rPr>
              <w:t>Budget Code</w:t>
            </w:r>
          </w:p>
        </w:tc>
        <w:tc>
          <w:tcPr>
            <w:tcW w:w="5675" w:type="dxa"/>
          </w:tcPr>
          <w:p w14:paraId="19CBFC17" w14:textId="77777777" w:rsidR="008A79A4" w:rsidRPr="008F35AB" w:rsidRDefault="008A79A4" w:rsidP="008A79A4">
            <w:pPr>
              <w:tabs>
                <w:tab w:val="left" w:pos="11057"/>
              </w:tabs>
              <w:ind w:right="985"/>
              <w:rPr>
                <w:rFonts w:cstheme="minorHAnsi"/>
              </w:rPr>
            </w:pPr>
          </w:p>
        </w:tc>
      </w:tr>
      <w:tr w:rsidR="008A79A4" w:rsidRPr="008F35AB" w14:paraId="4BE9A41D" w14:textId="77777777" w:rsidTr="00BB5E54">
        <w:trPr>
          <w:trHeight w:val="722"/>
        </w:trPr>
        <w:tc>
          <w:tcPr>
            <w:tcW w:w="3392" w:type="dxa"/>
            <w:vAlign w:val="center"/>
          </w:tcPr>
          <w:p w14:paraId="36CDC6BF" w14:textId="77777777" w:rsidR="008A79A4" w:rsidRPr="008F35AB" w:rsidRDefault="008A79A4" w:rsidP="008A79A4">
            <w:pPr>
              <w:tabs>
                <w:tab w:val="left" w:pos="11057"/>
              </w:tabs>
              <w:ind w:right="985"/>
              <w:rPr>
                <w:rFonts w:cstheme="minorHAnsi"/>
              </w:rPr>
            </w:pPr>
            <w:r w:rsidRPr="008F35AB">
              <w:rPr>
                <w:rFonts w:cstheme="minorHAnsi"/>
              </w:rPr>
              <w:t>Date</w:t>
            </w:r>
          </w:p>
        </w:tc>
        <w:tc>
          <w:tcPr>
            <w:tcW w:w="5675" w:type="dxa"/>
          </w:tcPr>
          <w:p w14:paraId="0F4E5A44" w14:textId="77777777" w:rsidR="008A79A4" w:rsidRPr="008F35AB" w:rsidRDefault="008A79A4" w:rsidP="008A79A4">
            <w:pPr>
              <w:tabs>
                <w:tab w:val="left" w:pos="11057"/>
              </w:tabs>
              <w:ind w:right="985"/>
              <w:rPr>
                <w:rFonts w:cstheme="minorHAnsi"/>
              </w:rPr>
            </w:pPr>
          </w:p>
        </w:tc>
      </w:tr>
    </w:tbl>
    <w:p w14:paraId="5D49DC54" w14:textId="77777777" w:rsidR="008A79A4" w:rsidRPr="008F35AB" w:rsidRDefault="008A79A4" w:rsidP="00BC47EA">
      <w:pPr>
        <w:tabs>
          <w:tab w:val="left" w:pos="11057"/>
        </w:tabs>
        <w:spacing w:after="0"/>
        <w:ind w:left="567" w:right="985"/>
        <w:rPr>
          <w:rFonts w:cstheme="minorHAnsi"/>
        </w:rPr>
      </w:pPr>
    </w:p>
    <w:p w14:paraId="3B6F5878" w14:textId="77777777" w:rsidR="008A79A4" w:rsidRPr="008F35AB" w:rsidRDefault="008A79A4" w:rsidP="004B2B52">
      <w:pPr>
        <w:tabs>
          <w:tab w:val="left" w:pos="11057"/>
        </w:tabs>
        <w:ind w:left="567" w:right="985"/>
        <w:rPr>
          <w:rFonts w:cstheme="minorHAnsi"/>
          <w:sz w:val="20"/>
          <w:szCs w:val="20"/>
        </w:rPr>
      </w:pPr>
      <w:r w:rsidRPr="008F35AB">
        <w:rPr>
          <w:rFonts w:cstheme="minorHAnsi"/>
          <w:sz w:val="20"/>
          <w:szCs w:val="20"/>
        </w:rPr>
        <w:t>Notes:</w:t>
      </w:r>
    </w:p>
    <w:p w14:paraId="39A1D321" w14:textId="6EA28A18" w:rsidR="008A79A4" w:rsidRPr="008F35AB" w:rsidRDefault="008A79A4" w:rsidP="00BB5E54">
      <w:pPr>
        <w:pStyle w:val="ListParagraph"/>
        <w:numPr>
          <w:ilvl w:val="0"/>
          <w:numId w:val="28"/>
        </w:numPr>
        <w:tabs>
          <w:tab w:val="left" w:pos="11057"/>
        </w:tabs>
        <w:spacing w:after="0" w:line="240" w:lineRule="auto"/>
        <w:ind w:right="985"/>
        <w:rPr>
          <w:rFonts w:cstheme="minorHAnsi"/>
          <w:sz w:val="16"/>
          <w:szCs w:val="16"/>
        </w:rPr>
      </w:pPr>
      <w:r w:rsidRPr="008F35AB">
        <w:rPr>
          <w:rFonts w:cstheme="minorHAnsi"/>
          <w:sz w:val="16"/>
          <w:szCs w:val="16"/>
        </w:rPr>
        <w:t>All expenses claimed must be supported by receipt</w:t>
      </w:r>
    </w:p>
    <w:p w14:paraId="102D632C" w14:textId="77777777" w:rsidR="008A79A4" w:rsidRPr="008F35AB" w:rsidRDefault="008A79A4" w:rsidP="00BB5E54">
      <w:pPr>
        <w:pStyle w:val="ListParagraph"/>
        <w:numPr>
          <w:ilvl w:val="0"/>
          <w:numId w:val="28"/>
        </w:numPr>
        <w:tabs>
          <w:tab w:val="left" w:pos="11057"/>
        </w:tabs>
        <w:spacing w:after="0" w:line="240" w:lineRule="auto"/>
        <w:ind w:right="985"/>
        <w:rPr>
          <w:rFonts w:cstheme="minorHAnsi"/>
          <w:sz w:val="16"/>
          <w:szCs w:val="16"/>
        </w:rPr>
      </w:pPr>
      <w:r w:rsidRPr="008F35AB">
        <w:rPr>
          <w:rFonts w:cstheme="minorHAnsi"/>
          <w:sz w:val="16"/>
          <w:szCs w:val="16"/>
        </w:rPr>
        <w:t>Completed claim forms should be submitted to the Finance Directorate.</w:t>
      </w:r>
    </w:p>
    <w:p w14:paraId="0AD33E34" w14:textId="77777777" w:rsidR="008A79A4" w:rsidRDefault="008A79A4" w:rsidP="008A79A4">
      <w:pPr>
        <w:pStyle w:val="ListParagraph"/>
        <w:numPr>
          <w:ilvl w:val="0"/>
          <w:numId w:val="28"/>
        </w:numPr>
        <w:tabs>
          <w:tab w:val="left" w:pos="11057"/>
        </w:tabs>
        <w:spacing w:after="0" w:line="240" w:lineRule="auto"/>
        <w:ind w:right="985"/>
        <w:rPr>
          <w:rFonts w:cstheme="minorHAnsi"/>
          <w:sz w:val="16"/>
          <w:szCs w:val="16"/>
        </w:rPr>
      </w:pPr>
      <w:r w:rsidRPr="008A79A4">
        <w:rPr>
          <w:rFonts w:cstheme="minorHAnsi"/>
          <w:sz w:val="16"/>
          <w:szCs w:val="16"/>
        </w:rPr>
        <w:t>Payment will normally be made directly into the claimant’s bank account within two weeks of receipt of the claim.</w:t>
      </w:r>
    </w:p>
    <w:p w14:paraId="5FF9C62D" w14:textId="10D9B3CB" w:rsidR="008A79A4" w:rsidRPr="008A79A4" w:rsidRDefault="008A79A4" w:rsidP="00BB5E54">
      <w:pPr>
        <w:pStyle w:val="ListParagraph"/>
        <w:numPr>
          <w:ilvl w:val="0"/>
          <w:numId w:val="28"/>
        </w:numPr>
        <w:tabs>
          <w:tab w:val="left" w:pos="11057"/>
        </w:tabs>
        <w:spacing w:after="0" w:line="240" w:lineRule="auto"/>
        <w:ind w:right="985"/>
        <w:rPr>
          <w:rFonts w:cstheme="minorHAnsi"/>
          <w:sz w:val="16"/>
          <w:szCs w:val="16"/>
        </w:rPr>
      </w:pPr>
      <w:r w:rsidRPr="008A79A4">
        <w:rPr>
          <w:rFonts w:cstheme="minorHAnsi"/>
          <w:sz w:val="16"/>
          <w:szCs w:val="16"/>
        </w:rPr>
        <w:t>A remittance advice confirming payment will be e-mailed to the e-mail address provided; please allow two further working days for funds to appear in account.</w:t>
      </w:r>
    </w:p>
    <w:p w14:paraId="4859074C" w14:textId="4A7EF483" w:rsidR="00B52D0F" w:rsidRPr="00B52D0F" w:rsidRDefault="00B52D0F" w:rsidP="00F72CA1">
      <w:pPr>
        <w:spacing w:after="0"/>
      </w:pPr>
    </w:p>
    <w:sectPr w:rsidR="00B52D0F" w:rsidRPr="00B52D0F" w:rsidSect="00F20D28">
      <w:footerReference w:type="default" r:id="rId21"/>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0CB54" w14:textId="77777777" w:rsidR="003118B1" w:rsidRDefault="003118B1" w:rsidP="003B0CD4">
      <w:pPr>
        <w:spacing w:after="0" w:line="240" w:lineRule="auto"/>
      </w:pPr>
      <w:r>
        <w:separator/>
      </w:r>
    </w:p>
  </w:endnote>
  <w:endnote w:type="continuationSeparator" w:id="0">
    <w:p w14:paraId="2311F890" w14:textId="77777777" w:rsidR="003118B1" w:rsidRDefault="003118B1"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D011B" w14:textId="77777777" w:rsidR="003118B1" w:rsidRDefault="003118B1" w:rsidP="003B0CD4">
      <w:pPr>
        <w:spacing w:after="0" w:line="240" w:lineRule="auto"/>
      </w:pPr>
      <w:r>
        <w:separator/>
      </w:r>
    </w:p>
  </w:footnote>
  <w:footnote w:type="continuationSeparator" w:id="0">
    <w:p w14:paraId="581EBDC0" w14:textId="77777777" w:rsidR="003118B1" w:rsidRDefault="003118B1" w:rsidP="003B0CD4">
      <w:pPr>
        <w:spacing w:after="0" w:line="240" w:lineRule="auto"/>
      </w:pPr>
      <w:r>
        <w:continuationSeparator/>
      </w:r>
    </w:p>
  </w:footnote>
  <w:footnote w:id="1">
    <w:p w14:paraId="2C2BC991" w14:textId="04C35954" w:rsidR="00B97FC0" w:rsidRDefault="00B97FC0">
      <w:pPr>
        <w:pStyle w:val="FootnoteText"/>
      </w:pPr>
      <w:r>
        <w:rPr>
          <w:rStyle w:val="FootnoteReference"/>
        </w:rPr>
        <w:footnoteRef/>
      </w:r>
      <w:r>
        <w:t xml:space="preserve"> It is recognised that where </w:t>
      </w:r>
      <w:r w:rsidR="00FE25DA">
        <w:t xml:space="preserve">a </w:t>
      </w:r>
      <w:r>
        <w:t>research</w:t>
      </w:r>
      <w:r w:rsidR="00FE25DA">
        <w:t xml:space="preserve"> project</w:t>
      </w:r>
      <w:r>
        <w:t xml:space="preserve"> involves covert or </w:t>
      </w:r>
      <w:r w:rsidR="00100D4A">
        <w:t xml:space="preserve">deceptive techniques then it will not be possible to define </w:t>
      </w:r>
      <w:r w:rsidR="00FE25DA">
        <w:t>activities</w:t>
      </w:r>
      <w:r w:rsidR="00100D4A">
        <w:t xml:space="preserve"> prior to involvement</w:t>
      </w:r>
      <w:r w:rsidR="00FE25DA">
        <w:t>.</w:t>
      </w:r>
      <w:r w:rsidR="001148A4">
        <w:t xml:space="preserve">  It is a requirement however that the use of any such techniques </w:t>
      </w:r>
      <w:proofErr w:type="gramStart"/>
      <w:r w:rsidR="001148A4">
        <w:t>are</w:t>
      </w:r>
      <w:proofErr w:type="gramEnd"/>
      <w:r w:rsidR="001148A4">
        <w:t xml:space="preserve"> </w:t>
      </w:r>
      <w:r w:rsidR="00BA0D10">
        <w:t>approved as part of the Cardiff Met ethics approval process prior to commencement of the project.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C33EDF"/>
    <w:multiLevelType w:val="hybridMultilevel"/>
    <w:tmpl w:val="5F86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457941"/>
    <w:multiLevelType w:val="hybridMultilevel"/>
    <w:tmpl w:val="E4C01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721525"/>
    <w:multiLevelType w:val="hybridMultilevel"/>
    <w:tmpl w:val="B1E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F5317E"/>
    <w:multiLevelType w:val="multilevel"/>
    <w:tmpl w:val="990AC53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6A57DF"/>
    <w:multiLevelType w:val="multilevel"/>
    <w:tmpl w:val="B1E67C9E"/>
    <w:lvl w:ilvl="0">
      <w:start w:val="2"/>
      <w:numFmt w:val="decimal"/>
      <w:lvlText w:val="%1"/>
      <w:lvlJc w:val="left"/>
      <w:pPr>
        <w:ind w:left="535" w:hanging="535"/>
      </w:pPr>
      <w:rPr>
        <w:rFonts w:hint="default"/>
      </w:rPr>
    </w:lvl>
    <w:lvl w:ilvl="1">
      <w:start w:val="1"/>
      <w:numFmt w:val="decimal"/>
      <w:lvlText w:val="%1.%2"/>
      <w:lvlJc w:val="left"/>
      <w:pPr>
        <w:ind w:left="535" w:hanging="5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1401F5"/>
    <w:multiLevelType w:val="hybridMultilevel"/>
    <w:tmpl w:val="A79A5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1D3003D"/>
    <w:multiLevelType w:val="hybridMultilevel"/>
    <w:tmpl w:val="728E3AE0"/>
    <w:lvl w:ilvl="0" w:tplc="3C669BC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7"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0436903">
    <w:abstractNumId w:val="27"/>
  </w:num>
  <w:num w:numId="2" w16cid:durableId="1657294971">
    <w:abstractNumId w:val="13"/>
  </w:num>
  <w:num w:numId="3" w16cid:durableId="1978100396">
    <w:abstractNumId w:val="15"/>
  </w:num>
  <w:num w:numId="4" w16cid:durableId="1594820390">
    <w:abstractNumId w:val="23"/>
  </w:num>
  <w:num w:numId="5" w16cid:durableId="1717117613">
    <w:abstractNumId w:val="14"/>
  </w:num>
  <w:num w:numId="6" w16cid:durableId="183399215">
    <w:abstractNumId w:val="25"/>
  </w:num>
  <w:num w:numId="7" w16cid:durableId="1141532187">
    <w:abstractNumId w:val="9"/>
  </w:num>
  <w:num w:numId="8" w16cid:durableId="836120013">
    <w:abstractNumId w:val="7"/>
  </w:num>
  <w:num w:numId="9" w16cid:durableId="1743216984">
    <w:abstractNumId w:val="6"/>
  </w:num>
  <w:num w:numId="10" w16cid:durableId="120729190">
    <w:abstractNumId w:val="5"/>
  </w:num>
  <w:num w:numId="11" w16cid:durableId="1612273999">
    <w:abstractNumId w:val="4"/>
  </w:num>
  <w:num w:numId="12" w16cid:durableId="823467606">
    <w:abstractNumId w:val="8"/>
  </w:num>
  <w:num w:numId="13" w16cid:durableId="331419594">
    <w:abstractNumId w:val="3"/>
  </w:num>
  <w:num w:numId="14" w16cid:durableId="956913674">
    <w:abstractNumId w:val="2"/>
  </w:num>
  <w:num w:numId="15" w16cid:durableId="443577504">
    <w:abstractNumId w:val="1"/>
  </w:num>
  <w:num w:numId="16" w16cid:durableId="1887644666">
    <w:abstractNumId w:val="0"/>
  </w:num>
  <w:num w:numId="17" w16cid:durableId="746154737">
    <w:abstractNumId w:val="10"/>
  </w:num>
  <w:num w:numId="18" w16cid:durableId="1618678535">
    <w:abstractNumId w:val="18"/>
  </w:num>
  <w:num w:numId="19" w16cid:durableId="5090272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0744364">
    <w:abstractNumId w:val="26"/>
  </w:num>
  <w:num w:numId="21" w16cid:durableId="1640838890">
    <w:abstractNumId w:val="11"/>
  </w:num>
  <w:num w:numId="22" w16cid:durableId="42559298">
    <w:abstractNumId w:val="17"/>
  </w:num>
  <w:num w:numId="23" w16cid:durableId="1922447387">
    <w:abstractNumId w:val="16"/>
  </w:num>
  <w:num w:numId="24" w16cid:durableId="694964674">
    <w:abstractNumId w:val="19"/>
  </w:num>
  <w:num w:numId="25" w16cid:durableId="2091584614">
    <w:abstractNumId w:val="20"/>
  </w:num>
  <w:num w:numId="26" w16cid:durableId="585113097">
    <w:abstractNumId w:val="21"/>
  </w:num>
  <w:num w:numId="27" w16cid:durableId="21073409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8090304">
    <w:abstractNumId w:val="24"/>
  </w:num>
  <w:num w:numId="29" w16cid:durableId="1407650606">
    <w:abstractNumId w:val="12"/>
  </w:num>
  <w:num w:numId="30" w16cid:durableId="1202403524">
    <w:abstractNumId w:val="22"/>
  </w:num>
  <w:num w:numId="31" w16cid:durableId="9578748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0E4D"/>
    <w:rsid w:val="0003221A"/>
    <w:rsid w:val="00034413"/>
    <w:rsid w:val="00034C64"/>
    <w:rsid w:val="000423C2"/>
    <w:rsid w:val="00052DEA"/>
    <w:rsid w:val="000626B4"/>
    <w:rsid w:val="00064F83"/>
    <w:rsid w:val="00067966"/>
    <w:rsid w:val="00076FC4"/>
    <w:rsid w:val="00084894"/>
    <w:rsid w:val="00091262"/>
    <w:rsid w:val="00091FC0"/>
    <w:rsid w:val="00093C48"/>
    <w:rsid w:val="0009597B"/>
    <w:rsid w:val="00095C63"/>
    <w:rsid w:val="00096435"/>
    <w:rsid w:val="000A1A29"/>
    <w:rsid w:val="000A6E12"/>
    <w:rsid w:val="000B4ECF"/>
    <w:rsid w:val="000C2174"/>
    <w:rsid w:val="000D0B2C"/>
    <w:rsid w:val="000D23F4"/>
    <w:rsid w:val="000D3EF5"/>
    <w:rsid w:val="000D6424"/>
    <w:rsid w:val="000D7739"/>
    <w:rsid w:val="000E19EF"/>
    <w:rsid w:val="000F0838"/>
    <w:rsid w:val="000F13D6"/>
    <w:rsid w:val="000F19FD"/>
    <w:rsid w:val="000F3B9E"/>
    <w:rsid w:val="000F3FF4"/>
    <w:rsid w:val="00100D4A"/>
    <w:rsid w:val="00101F69"/>
    <w:rsid w:val="001040D0"/>
    <w:rsid w:val="001148A4"/>
    <w:rsid w:val="0012564B"/>
    <w:rsid w:val="00130BA3"/>
    <w:rsid w:val="0013236B"/>
    <w:rsid w:val="0013304E"/>
    <w:rsid w:val="0013607D"/>
    <w:rsid w:val="001367FE"/>
    <w:rsid w:val="001420C5"/>
    <w:rsid w:val="00150C85"/>
    <w:rsid w:val="0015225C"/>
    <w:rsid w:val="00160A24"/>
    <w:rsid w:val="00161EDB"/>
    <w:rsid w:val="001646F5"/>
    <w:rsid w:val="00172288"/>
    <w:rsid w:val="00172630"/>
    <w:rsid w:val="00176A6B"/>
    <w:rsid w:val="00176F33"/>
    <w:rsid w:val="00184EE3"/>
    <w:rsid w:val="00197CD1"/>
    <w:rsid w:val="00197F0D"/>
    <w:rsid w:val="001A52A7"/>
    <w:rsid w:val="001A7F68"/>
    <w:rsid w:val="001B1F98"/>
    <w:rsid w:val="001B497D"/>
    <w:rsid w:val="001B6874"/>
    <w:rsid w:val="001C0E14"/>
    <w:rsid w:val="001C191C"/>
    <w:rsid w:val="001D10C2"/>
    <w:rsid w:val="001D15F6"/>
    <w:rsid w:val="001D589B"/>
    <w:rsid w:val="001D610B"/>
    <w:rsid w:val="001E196D"/>
    <w:rsid w:val="001E54DD"/>
    <w:rsid w:val="001F1B04"/>
    <w:rsid w:val="00215570"/>
    <w:rsid w:val="00226269"/>
    <w:rsid w:val="00227B5C"/>
    <w:rsid w:val="00232309"/>
    <w:rsid w:val="00253C70"/>
    <w:rsid w:val="00260329"/>
    <w:rsid w:val="00261178"/>
    <w:rsid w:val="00263057"/>
    <w:rsid w:val="00264556"/>
    <w:rsid w:val="00270E47"/>
    <w:rsid w:val="00276D78"/>
    <w:rsid w:val="002859B7"/>
    <w:rsid w:val="002926C4"/>
    <w:rsid w:val="00295DF7"/>
    <w:rsid w:val="002A3E73"/>
    <w:rsid w:val="002C0898"/>
    <w:rsid w:val="002D14AD"/>
    <w:rsid w:val="002F3B5B"/>
    <w:rsid w:val="002F5DB4"/>
    <w:rsid w:val="00310A76"/>
    <w:rsid w:val="003118B1"/>
    <w:rsid w:val="00313A63"/>
    <w:rsid w:val="00317267"/>
    <w:rsid w:val="003205F6"/>
    <w:rsid w:val="0032264E"/>
    <w:rsid w:val="00323D40"/>
    <w:rsid w:val="00327855"/>
    <w:rsid w:val="00346A96"/>
    <w:rsid w:val="0035109F"/>
    <w:rsid w:val="003512B1"/>
    <w:rsid w:val="00351D20"/>
    <w:rsid w:val="003526E4"/>
    <w:rsid w:val="00362651"/>
    <w:rsid w:val="00367FE6"/>
    <w:rsid w:val="00372635"/>
    <w:rsid w:val="00375D99"/>
    <w:rsid w:val="00376449"/>
    <w:rsid w:val="003821AB"/>
    <w:rsid w:val="00390464"/>
    <w:rsid w:val="00396D23"/>
    <w:rsid w:val="003A2229"/>
    <w:rsid w:val="003A7850"/>
    <w:rsid w:val="003B0CD4"/>
    <w:rsid w:val="003B2B98"/>
    <w:rsid w:val="003C2126"/>
    <w:rsid w:val="003D1C03"/>
    <w:rsid w:val="003D457A"/>
    <w:rsid w:val="003E6D68"/>
    <w:rsid w:val="003F035F"/>
    <w:rsid w:val="003F0640"/>
    <w:rsid w:val="004003B1"/>
    <w:rsid w:val="00404EC5"/>
    <w:rsid w:val="00406B6E"/>
    <w:rsid w:val="00420B9E"/>
    <w:rsid w:val="004228D9"/>
    <w:rsid w:val="00424E11"/>
    <w:rsid w:val="00430A98"/>
    <w:rsid w:val="00454793"/>
    <w:rsid w:val="00456D96"/>
    <w:rsid w:val="004618C7"/>
    <w:rsid w:val="00464C9C"/>
    <w:rsid w:val="00466A90"/>
    <w:rsid w:val="004734A0"/>
    <w:rsid w:val="00484E55"/>
    <w:rsid w:val="00497A59"/>
    <w:rsid w:val="004A0911"/>
    <w:rsid w:val="004A4FF8"/>
    <w:rsid w:val="004B1F0D"/>
    <w:rsid w:val="004B20D0"/>
    <w:rsid w:val="004B496E"/>
    <w:rsid w:val="004C0049"/>
    <w:rsid w:val="004D3778"/>
    <w:rsid w:val="004E2099"/>
    <w:rsid w:val="004E6F06"/>
    <w:rsid w:val="004F3D8E"/>
    <w:rsid w:val="004F3E35"/>
    <w:rsid w:val="004F3F03"/>
    <w:rsid w:val="004F752E"/>
    <w:rsid w:val="005005F9"/>
    <w:rsid w:val="005035F0"/>
    <w:rsid w:val="00504E5E"/>
    <w:rsid w:val="0052032E"/>
    <w:rsid w:val="0052268A"/>
    <w:rsid w:val="005301F9"/>
    <w:rsid w:val="00530F92"/>
    <w:rsid w:val="00535442"/>
    <w:rsid w:val="00537AEA"/>
    <w:rsid w:val="00541AC0"/>
    <w:rsid w:val="00542772"/>
    <w:rsid w:val="0055051B"/>
    <w:rsid w:val="0055484A"/>
    <w:rsid w:val="0056661F"/>
    <w:rsid w:val="005966FE"/>
    <w:rsid w:val="005A48FC"/>
    <w:rsid w:val="005A493B"/>
    <w:rsid w:val="005A5AD5"/>
    <w:rsid w:val="005B1AB5"/>
    <w:rsid w:val="005B1CCB"/>
    <w:rsid w:val="005B4483"/>
    <w:rsid w:val="005B70A8"/>
    <w:rsid w:val="005C1286"/>
    <w:rsid w:val="005C613F"/>
    <w:rsid w:val="005C6410"/>
    <w:rsid w:val="005D0B18"/>
    <w:rsid w:val="005D2567"/>
    <w:rsid w:val="005D3DFB"/>
    <w:rsid w:val="005E1A8F"/>
    <w:rsid w:val="005F19DB"/>
    <w:rsid w:val="0060088D"/>
    <w:rsid w:val="0060384A"/>
    <w:rsid w:val="00633255"/>
    <w:rsid w:val="006377CE"/>
    <w:rsid w:val="00642E83"/>
    <w:rsid w:val="00644404"/>
    <w:rsid w:val="00645C47"/>
    <w:rsid w:val="00650E93"/>
    <w:rsid w:val="00651D68"/>
    <w:rsid w:val="00656D4A"/>
    <w:rsid w:val="0066273C"/>
    <w:rsid w:val="006649BD"/>
    <w:rsid w:val="00665B67"/>
    <w:rsid w:val="00666B85"/>
    <w:rsid w:val="0066747E"/>
    <w:rsid w:val="00667A17"/>
    <w:rsid w:val="006708B5"/>
    <w:rsid w:val="00675991"/>
    <w:rsid w:val="006805D1"/>
    <w:rsid w:val="00683099"/>
    <w:rsid w:val="00684ACE"/>
    <w:rsid w:val="00686B34"/>
    <w:rsid w:val="006874B2"/>
    <w:rsid w:val="00693E3E"/>
    <w:rsid w:val="00697DFA"/>
    <w:rsid w:val="006A0052"/>
    <w:rsid w:val="006A4FE6"/>
    <w:rsid w:val="006A799F"/>
    <w:rsid w:val="006B33D7"/>
    <w:rsid w:val="006D2369"/>
    <w:rsid w:val="006D411A"/>
    <w:rsid w:val="006D6498"/>
    <w:rsid w:val="006E0811"/>
    <w:rsid w:val="00700188"/>
    <w:rsid w:val="0071039C"/>
    <w:rsid w:val="00714650"/>
    <w:rsid w:val="00714A38"/>
    <w:rsid w:val="007150F4"/>
    <w:rsid w:val="007206D7"/>
    <w:rsid w:val="00722FD5"/>
    <w:rsid w:val="00734A37"/>
    <w:rsid w:val="00734D37"/>
    <w:rsid w:val="00736446"/>
    <w:rsid w:val="00743754"/>
    <w:rsid w:val="007632E4"/>
    <w:rsid w:val="00763A6B"/>
    <w:rsid w:val="0077217C"/>
    <w:rsid w:val="00772E41"/>
    <w:rsid w:val="00787009"/>
    <w:rsid w:val="00787FF9"/>
    <w:rsid w:val="0079120D"/>
    <w:rsid w:val="00797DE5"/>
    <w:rsid w:val="007A0E66"/>
    <w:rsid w:val="007A7A5B"/>
    <w:rsid w:val="007C0055"/>
    <w:rsid w:val="007D29C0"/>
    <w:rsid w:val="007D6E19"/>
    <w:rsid w:val="007E0382"/>
    <w:rsid w:val="007E20C6"/>
    <w:rsid w:val="007F3FEB"/>
    <w:rsid w:val="007F447E"/>
    <w:rsid w:val="00803D56"/>
    <w:rsid w:val="0080400C"/>
    <w:rsid w:val="00806BC3"/>
    <w:rsid w:val="00815A26"/>
    <w:rsid w:val="0081662B"/>
    <w:rsid w:val="00817692"/>
    <w:rsid w:val="00817A93"/>
    <w:rsid w:val="008223FB"/>
    <w:rsid w:val="00822ABF"/>
    <w:rsid w:val="008246B0"/>
    <w:rsid w:val="00824DDD"/>
    <w:rsid w:val="00831EE0"/>
    <w:rsid w:val="00841EF5"/>
    <w:rsid w:val="00844206"/>
    <w:rsid w:val="008467C2"/>
    <w:rsid w:val="008513AE"/>
    <w:rsid w:val="00853F41"/>
    <w:rsid w:val="00854E81"/>
    <w:rsid w:val="008569CD"/>
    <w:rsid w:val="008627B3"/>
    <w:rsid w:val="00862D55"/>
    <w:rsid w:val="00862D95"/>
    <w:rsid w:val="00866360"/>
    <w:rsid w:val="008704EB"/>
    <w:rsid w:val="008741DB"/>
    <w:rsid w:val="0088599E"/>
    <w:rsid w:val="00892483"/>
    <w:rsid w:val="0089395C"/>
    <w:rsid w:val="008A4EE4"/>
    <w:rsid w:val="008A79A4"/>
    <w:rsid w:val="008B027B"/>
    <w:rsid w:val="008C551C"/>
    <w:rsid w:val="008D23D2"/>
    <w:rsid w:val="008D2F68"/>
    <w:rsid w:val="008D467B"/>
    <w:rsid w:val="008D7978"/>
    <w:rsid w:val="00905E84"/>
    <w:rsid w:val="00912A0E"/>
    <w:rsid w:val="009262A2"/>
    <w:rsid w:val="00931AA8"/>
    <w:rsid w:val="009359B4"/>
    <w:rsid w:val="00940C82"/>
    <w:rsid w:val="00945CC4"/>
    <w:rsid w:val="00952ED2"/>
    <w:rsid w:val="00965596"/>
    <w:rsid w:val="00971EA6"/>
    <w:rsid w:val="00973B36"/>
    <w:rsid w:val="00973C73"/>
    <w:rsid w:val="00974A81"/>
    <w:rsid w:val="0098001E"/>
    <w:rsid w:val="00986CD7"/>
    <w:rsid w:val="00993BF9"/>
    <w:rsid w:val="009A2196"/>
    <w:rsid w:val="009A3418"/>
    <w:rsid w:val="009B1BD6"/>
    <w:rsid w:val="009C2331"/>
    <w:rsid w:val="009C26A5"/>
    <w:rsid w:val="009C319B"/>
    <w:rsid w:val="009C7B96"/>
    <w:rsid w:val="009D2881"/>
    <w:rsid w:val="009D4EF7"/>
    <w:rsid w:val="009E107B"/>
    <w:rsid w:val="009E35E9"/>
    <w:rsid w:val="00A05E79"/>
    <w:rsid w:val="00A0698F"/>
    <w:rsid w:val="00A10647"/>
    <w:rsid w:val="00A17065"/>
    <w:rsid w:val="00A2384D"/>
    <w:rsid w:val="00A53F94"/>
    <w:rsid w:val="00A549C3"/>
    <w:rsid w:val="00A57888"/>
    <w:rsid w:val="00A640A2"/>
    <w:rsid w:val="00A71D14"/>
    <w:rsid w:val="00A7691F"/>
    <w:rsid w:val="00A91A49"/>
    <w:rsid w:val="00A9657F"/>
    <w:rsid w:val="00A9710F"/>
    <w:rsid w:val="00AA367D"/>
    <w:rsid w:val="00AD1CA8"/>
    <w:rsid w:val="00AE3499"/>
    <w:rsid w:val="00AE3A65"/>
    <w:rsid w:val="00AE7BD0"/>
    <w:rsid w:val="00AE7CC3"/>
    <w:rsid w:val="00AF2B35"/>
    <w:rsid w:val="00B00854"/>
    <w:rsid w:val="00B01D17"/>
    <w:rsid w:val="00B04A83"/>
    <w:rsid w:val="00B05A36"/>
    <w:rsid w:val="00B0766D"/>
    <w:rsid w:val="00B10215"/>
    <w:rsid w:val="00B1455D"/>
    <w:rsid w:val="00B249C4"/>
    <w:rsid w:val="00B24C49"/>
    <w:rsid w:val="00B3392A"/>
    <w:rsid w:val="00B35098"/>
    <w:rsid w:val="00B36065"/>
    <w:rsid w:val="00B36605"/>
    <w:rsid w:val="00B37127"/>
    <w:rsid w:val="00B43DBD"/>
    <w:rsid w:val="00B44520"/>
    <w:rsid w:val="00B50158"/>
    <w:rsid w:val="00B528ED"/>
    <w:rsid w:val="00B52D0F"/>
    <w:rsid w:val="00B54D4D"/>
    <w:rsid w:val="00B6307B"/>
    <w:rsid w:val="00B65212"/>
    <w:rsid w:val="00B7093D"/>
    <w:rsid w:val="00B75892"/>
    <w:rsid w:val="00B81FBC"/>
    <w:rsid w:val="00B82F2B"/>
    <w:rsid w:val="00B86BF7"/>
    <w:rsid w:val="00B86E39"/>
    <w:rsid w:val="00B9504E"/>
    <w:rsid w:val="00B97FC0"/>
    <w:rsid w:val="00BA0D10"/>
    <w:rsid w:val="00BA6C69"/>
    <w:rsid w:val="00BB5E54"/>
    <w:rsid w:val="00BB74FF"/>
    <w:rsid w:val="00BC5DC7"/>
    <w:rsid w:val="00BC77B0"/>
    <w:rsid w:val="00BD281E"/>
    <w:rsid w:val="00BD5F5D"/>
    <w:rsid w:val="00BF4BAC"/>
    <w:rsid w:val="00C05B84"/>
    <w:rsid w:val="00C07B20"/>
    <w:rsid w:val="00C24D8F"/>
    <w:rsid w:val="00C30F00"/>
    <w:rsid w:val="00C341BE"/>
    <w:rsid w:val="00C407FE"/>
    <w:rsid w:val="00C43BF6"/>
    <w:rsid w:val="00C536D4"/>
    <w:rsid w:val="00C54D4B"/>
    <w:rsid w:val="00CA08C7"/>
    <w:rsid w:val="00CA1500"/>
    <w:rsid w:val="00CA6EDB"/>
    <w:rsid w:val="00CB137C"/>
    <w:rsid w:val="00CB1F64"/>
    <w:rsid w:val="00CB46FD"/>
    <w:rsid w:val="00CB5D44"/>
    <w:rsid w:val="00CB7D4A"/>
    <w:rsid w:val="00CC27E6"/>
    <w:rsid w:val="00CD1E3B"/>
    <w:rsid w:val="00CD441C"/>
    <w:rsid w:val="00CD52F3"/>
    <w:rsid w:val="00CD582A"/>
    <w:rsid w:val="00CE47D3"/>
    <w:rsid w:val="00CE608D"/>
    <w:rsid w:val="00CE687C"/>
    <w:rsid w:val="00CF3814"/>
    <w:rsid w:val="00D020DD"/>
    <w:rsid w:val="00D05CA9"/>
    <w:rsid w:val="00D15977"/>
    <w:rsid w:val="00D2037A"/>
    <w:rsid w:val="00D20880"/>
    <w:rsid w:val="00D4277B"/>
    <w:rsid w:val="00D46E50"/>
    <w:rsid w:val="00D54636"/>
    <w:rsid w:val="00D5563F"/>
    <w:rsid w:val="00D5591B"/>
    <w:rsid w:val="00D57FF1"/>
    <w:rsid w:val="00D624C4"/>
    <w:rsid w:val="00D63360"/>
    <w:rsid w:val="00D7599A"/>
    <w:rsid w:val="00D82026"/>
    <w:rsid w:val="00D85541"/>
    <w:rsid w:val="00D87C65"/>
    <w:rsid w:val="00D9301C"/>
    <w:rsid w:val="00D973DB"/>
    <w:rsid w:val="00DA05EE"/>
    <w:rsid w:val="00DA0EB1"/>
    <w:rsid w:val="00DA1482"/>
    <w:rsid w:val="00DA79DB"/>
    <w:rsid w:val="00DB121D"/>
    <w:rsid w:val="00DC74D1"/>
    <w:rsid w:val="00DD0128"/>
    <w:rsid w:val="00DD58C1"/>
    <w:rsid w:val="00DE2717"/>
    <w:rsid w:val="00DE3B31"/>
    <w:rsid w:val="00DE4000"/>
    <w:rsid w:val="00DE5856"/>
    <w:rsid w:val="00E1196B"/>
    <w:rsid w:val="00E13ACB"/>
    <w:rsid w:val="00E1768C"/>
    <w:rsid w:val="00E212A3"/>
    <w:rsid w:val="00E374E4"/>
    <w:rsid w:val="00E46AF4"/>
    <w:rsid w:val="00E51C4B"/>
    <w:rsid w:val="00E53462"/>
    <w:rsid w:val="00E615C9"/>
    <w:rsid w:val="00E62C64"/>
    <w:rsid w:val="00E64B13"/>
    <w:rsid w:val="00E734C7"/>
    <w:rsid w:val="00E83B81"/>
    <w:rsid w:val="00E84BD5"/>
    <w:rsid w:val="00E84FDC"/>
    <w:rsid w:val="00E95715"/>
    <w:rsid w:val="00EA3C59"/>
    <w:rsid w:val="00EA69F4"/>
    <w:rsid w:val="00EB4156"/>
    <w:rsid w:val="00EC0CC7"/>
    <w:rsid w:val="00EC2C8F"/>
    <w:rsid w:val="00EC5833"/>
    <w:rsid w:val="00ED02EC"/>
    <w:rsid w:val="00ED1374"/>
    <w:rsid w:val="00ED184E"/>
    <w:rsid w:val="00ED19D8"/>
    <w:rsid w:val="00ED6897"/>
    <w:rsid w:val="00EE23DF"/>
    <w:rsid w:val="00EF0308"/>
    <w:rsid w:val="00EF0EFE"/>
    <w:rsid w:val="00EF331E"/>
    <w:rsid w:val="00EF69B5"/>
    <w:rsid w:val="00F04BBC"/>
    <w:rsid w:val="00F07112"/>
    <w:rsid w:val="00F16325"/>
    <w:rsid w:val="00F20D28"/>
    <w:rsid w:val="00F213F4"/>
    <w:rsid w:val="00F23479"/>
    <w:rsid w:val="00F314A6"/>
    <w:rsid w:val="00F31A75"/>
    <w:rsid w:val="00F31A84"/>
    <w:rsid w:val="00F35689"/>
    <w:rsid w:val="00F613FC"/>
    <w:rsid w:val="00F72CA1"/>
    <w:rsid w:val="00F74ABA"/>
    <w:rsid w:val="00F77E1A"/>
    <w:rsid w:val="00F81252"/>
    <w:rsid w:val="00F82F4D"/>
    <w:rsid w:val="00F84635"/>
    <w:rsid w:val="00F90480"/>
    <w:rsid w:val="00F92985"/>
    <w:rsid w:val="00F94CBB"/>
    <w:rsid w:val="00F96907"/>
    <w:rsid w:val="00F97FD4"/>
    <w:rsid w:val="00FA2B1D"/>
    <w:rsid w:val="00FA30DC"/>
    <w:rsid w:val="00FA5118"/>
    <w:rsid w:val="00FB097D"/>
    <w:rsid w:val="00FC6B37"/>
    <w:rsid w:val="00FC6E7A"/>
    <w:rsid w:val="00FE18AA"/>
    <w:rsid w:val="00FE1FFC"/>
    <w:rsid w:val="00FE25DA"/>
    <w:rsid w:val="00FE2C3C"/>
    <w:rsid w:val="00FE465C"/>
    <w:rsid w:val="00FF1C6D"/>
    <w:rsid w:val="00FF2031"/>
    <w:rsid w:val="0598C42B"/>
    <w:rsid w:val="15E3BA18"/>
    <w:rsid w:val="15EC242F"/>
    <w:rsid w:val="1B368405"/>
    <w:rsid w:val="1CC4707F"/>
    <w:rsid w:val="22A63218"/>
    <w:rsid w:val="24C46B05"/>
    <w:rsid w:val="2A779ACB"/>
    <w:rsid w:val="3098D575"/>
    <w:rsid w:val="32698453"/>
    <w:rsid w:val="373CF576"/>
    <w:rsid w:val="37983C21"/>
    <w:rsid w:val="37D0B373"/>
    <w:rsid w:val="3E870844"/>
    <w:rsid w:val="3F0B6208"/>
    <w:rsid w:val="415E2FE5"/>
    <w:rsid w:val="47C4C649"/>
    <w:rsid w:val="48907E7A"/>
    <w:rsid w:val="4AC6C74C"/>
    <w:rsid w:val="4C6297A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A05E79"/>
    <w:pPr>
      <w:numPr>
        <w:ilvl w:val="1"/>
        <w:numId w:val="4"/>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05E79"/>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5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FootnoteText">
    <w:name w:val="footnote text"/>
    <w:basedOn w:val="Normal"/>
    <w:link w:val="FootnoteTextChar"/>
    <w:uiPriority w:val="99"/>
    <w:semiHidden/>
    <w:unhideWhenUsed/>
    <w:rsid w:val="00B97F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7FC0"/>
    <w:rPr>
      <w:rFonts w:ascii="Arial" w:hAnsi="Arial"/>
      <w:color w:val="222A35" w:themeColor="text2" w:themeShade="80"/>
      <w:sz w:val="20"/>
      <w:szCs w:val="20"/>
    </w:rPr>
  </w:style>
  <w:style w:type="character" w:styleId="FootnoteReference">
    <w:name w:val="footnote reference"/>
    <w:basedOn w:val="DefaultParagraphFont"/>
    <w:uiPriority w:val="99"/>
    <w:semiHidden/>
    <w:unhideWhenUsed/>
    <w:rsid w:val="00B97FC0"/>
    <w:rPr>
      <w:vertAlign w:val="superscript"/>
    </w:rPr>
  </w:style>
  <w:style w:type="paragraph" w:styleId="Revision">
    <w:name w:val="Revision"/>
    <w:hidden/>
    <w:uiPriority w:val="99"/>
    <w:semiHidden/>
    <w:rsid w:val="00A549C3"/>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4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openxmlformats.org/officeDocument/2006/relationships/hyperlink" Target="https://outlookuwicac.sharepoint.com/sites/Financ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hyperlink" Target="https://healthandcareresearchwales.org/about/news/payment-rates-increased-public-involvement" TargetMode="External"/><Relationship Id="rId2" Type="http://schemas.openxmlformats.org/officeDocument/2006/relationships/customXml" Target="../customXml/item2.xml"/><Relationship Id="rId16" Type="http://schemas.openxmlformats.org/officeDocument/2006/relationships/hyperlink" Target="https://www.nihr.ac.uk/about-us/who-we-are/policies-and-guidelines/payment-guidance-researchers-and-professionals" TargetMode="External"/><Relationship Id="rId20" Type="http://schemas.openxmlformats.org/officeDocument/2006/relationships/hyperlink" Target="chrome-extension://efaidnbmnnnibpcajpcglclefindmkaj/https:/healthandcareresearchwales.org/sites/default/files/2020-10/Benefits_Advice_Service_flyer_March_1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hmrc-internal-manuals/employment-income-manual/eim7110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hmrc-internal-manuals/employment-income-manual/eim7110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D1FD9D2836C6479DBDB712084C41C3" ma:contentTypeVersion="1" ma:contentTypeDescription="Create a new document." ma:contentTypeScope="" ma:versionID="0627e6ab7b96149163b9d3950ab34bd7">
  <xsd:schema xmlns:xsd="http://www.w3.org/2001/XMLSchema" xmlns:xs="http://www.w3.org/2001/XMLSchema" xmlns:p="http://schemas.microsoft.com/office/2006/metadata/properties" xmlns:ns2="6da3332c-a189-48a3-a7c8-653038035034" targetNamespace="http://schemas.microsoft.com/office/2006/metadata/properties" ma:root="true" ma:fieldsID="1a26e2a92abe56468d1d7fa055528c18" ns2:_="">
    <xsd:import namespace="6da3332c-a189-48a3-a7c8-65303803503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3332c-a189-48a3-a7c8-6530380350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60ED87A9-B198-4A8D-8D4D-31FC00A1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3332c-a189-48a3-a7c8-653038035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8AFF6A-B16C-402A-8EF1-5C9E11C2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Jefferies, Kate</cp:lastModifiedBy>
  <cp:revision>33</cp:revision>
  <dcterms:created xsi:type="dcterms:W3CDTF">2025-07-03T07:05:00Z</dcterms:created>
  <dcterms:modified xsi:type="dcterms:W3CDTF">2026-06-24T08:51:00Z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0x01010014D1FD9D2836C6479DBDB712084C41C3</vt:lpwstr>
  </property>
</Properties>
</file>