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34D2D6" w14:textId="3EB282C4" w:rsidR="004C652C" w:rsidRPr="00C067E2" w:rsidRDefault="008A0F6E" w:rsidP="00C067E2">
      <w:pPr>
        <w:ind w:left="-142"/>
        <w:jc w:val="right"/>
        <w:rPr>
          <w:rFonts w:ascii="GALAXIECOPERNICUS-SEMIBOLD" w:hAnsi="GALAXIECOPERNICUS-SEMIBOLD" w:cs="Times New Roman (Body CS)"/>
          <w:b/>
          <w:bCs/>
          <w:color w:val="002D56"/>
          <w:spacing w:val="-20"/>
          <w:kern w:val="22"/>
          <w:sz w:val="72"/>
          <w:szCs w:val="72"/>
        </w:rPr>
      </w:pPr>
      <w:r>
        <w:rPr>
          <w:rFonts w:ascii="GALAXIECOPERNICUS-SEMIBOLD" w:hAnsi="GALAXIECOPERNICUS-SEMIBOLD" w:cs="Times New Roman (Body CS)"/>
          <w:b/>
          <w:bCs/>
          <w:noProof/>
          <w:color w:val="002D56"/>
          <w:spacing w:val="-20"/>
          <w:kern w:val="22"/>
          <w:sz w:val="72"/>
          <w:szCs w:val="72"/>
        </w:rPr>
        <w:drawing>
          <wp:inline distT="0" distB="0" distL="0" distR="0" wp14:anchorId="2826D9CF" wp14:editId="767146E8">
            <wp:extent cx="2118995" cy="623816"/>
            <wp:effectExtent l="0" t="0" r="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1">
                      <a:extLst>
                        <a:ext uri="{28A0092B-C50C-407E-A947-70E740481C1C}">
                          <a14:useLocalDpi xmlns:a14="http://schemas.microsoft.com/office/drawing/2010/main" val="0"/>
                        </a:ext>
                      </a:extLst>
                    </a:blip>
                    <a:stretch>
                      <a:fillRect/>
                    </a:stretch>
                  </pic:blipFill>
                  <pic:spPr>
                    <a:xfrm>
                      <a:off x="0" y="0"/>
                      <a:ext cx="2149014" cy="632653"/>
                    </a:xfrm>
                    <a:prstGeom prst="rect">
                      <a:avLst/>
                    </a:prstGeom>
                  </pic:spPr>
                </pic:pic>
              </a:graphicData>
            </a:graphic>
          </wp:inline>
        </w:drawing>
      </w:r>
      <w:r w:rsidR="007E765A" w:rsidRPr="00883960">
        <w:rPr>
          <w:rFonts w:ascii="GALAXIECOPERNICUS-SEMIBOLD" w:hAnsi="GALAXIECOPERNICUS-SEMIBOLD" w:cs="Times New Roman (Body CS)"/>
          <w:b/>
          <w:bCs/>
          <w:noProof/>
          <w:color w:val="F3E8EB"/>
          <w:spacing w:val="-20"/>
          <w:kern w:val="22"/>
          <w:sz w:val="72"/>
          <w:szCs w:val="72"/>
        </w:rPr>
        <mc:AlternateContent>
          <mc:Choice Requires="wps">
            <w:drawing>
              <wp:anchor distT="0" distB="0" distL="114300" distR="114300" simplePos="0" relativeHeight="251658240" behindDoc="0" locked="0" layoutInCell="1" allowOverlap="1" wp14:anchorId="2826D9D1" wp14:editId="2826D9D2">
                <wp:simplePos x="0" y="0"/>
                <wp:positionH relativeFrom="column">
                  <wp:posOffset>-1087120</wp:posOffset>
                </wp:positionH>
                <wp:positionV relativeFrom="paragraph">
                  <wp:posOffset>658182</wp:posOffset>
                </wp:positionV>
                <wp:extent cx="736600" cy="728980"/>
                <wp:effectExtent l="0" t="0" r="0" b="0"/>
                <wp:wrapNone/>
                <wp:docPr id="1" name="Round Diagonal Corner of Rectangle 1"/>
                <wp:cNvGraphicFramePr/>
                <a:graphic xmlns:a="http://schemas.openxmlformats.org/drawingml/2006/main">
                  <a:graphicData uri="http://schemas.microsoft.com/office/word/2010/wordprocessingShape">
                    <wps:wsp>
                      <wps:cNvSpPr/>
                      <wps:spPr>
                        <a:xfrm>
                          <a:off x="0" y="0"/>
                          <a:ext cx="736600" cy="728980"/>
                        </a:xfrm>
                        <a:prstGeom prst="round2DiagRect">
                          <a:avLst>
                            <a:gd name="adj1" fmla="val 10485"/>
                            <a:gd name="adj2" fmla="val 0"/>
                          </a:avLst>
                        </a:prstGeom>
                        <a:solidFill>
                          <a:srgbClr val="0C202C"/>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704BE294" id="Round Diagonal Corner of Rectangle 1" o:spid="_x0000_s1026" style="position:absolute;margin-left:-85.6pt;margin-top:51.85pt;width:58pt;height:57.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736600,7289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" path="m76434,l736600,r,l736600,652546v,42213,-34221,76434,-76434,76434l,728980r,l,76434c,34221,34221,,76434,xe" fillcolor="#0c202c" stroked="f" strokeweight="1pt">
                <v:stroke joinstyle="miter"/>
                <v:path arrowok="t" o:connecttype="custom" o:connectlocs="76434,0;736600,0;736600,0;736600,652546;660166,728980;0,728980;0,728980;0,76434;76434,0" o:connectangles="0,0,0,0,0,0,0,0,0"/>
              </v:shape>
            </w:pict>
          </mc:Fallback>
        </mc:AlternateContent>
      </w:r>
    </w:p>
    <w:p w14:paraId="2826D9CA" w14:textId="6F547B53" w:rsidR="006F189E" w:rsidRPr="004C652C" w:rsidRDefault="0051011F" w:rsidP="004C652C">
      <w:pPr>
        <w:ind w:left="-142"/>
        <w:rPr>
          <w:rFonts w:ascii="GALAXIECOPERNICUS-SEMIBOLD" w:hAnsi="GALAXIECOPERNICUS-SEMIBOLD" w:cs="Times New Roman (Body CS)"/>
          <w:b/>
          <w:bCs/>
          <w:color w:val="002D56"/>
          <w:spacing w:val="-20"/>
          <w:kern w:val="22"/>
          <w:sz w:val="72"/>
          <w:szCs w:val="72"/>
        </w:rPr>
      </w:pPr>
      <w:r>
        <w:rPr>
          <w:rFonts w:cstheme="minorHAnsi"/>
          <w:b/>
          <w:bCs/>
          <w:color w:val="0A2A3D"/>
          <w:sz w:val="72"/>
          <w:szCs w:val="72"/>
        </w:rPr>
        <w:t>Sustainable Digital Infrastructure</w:t>
      </w:r>
    </w:p>
    <w:p w14:paraId="1C6A53AD" w14:textId="77777777" w:rsidR="0041058E" w:rsidRDefault="0041058E" w:rsidP="00BF1CC8">
      <w:pPr>
        <w:jc w:val="center"/>
        <w:rPr>
          <w:b/>
          <w:bCs/>
        </w:rPr>
      </w:pPr>
    </w:p>
    <w:p w14:paraId="2826D9CB" w14:textId="460A83AD" w:rsidR="00BC6B24" w:rsidRPr="00BF1CC8" w:rsidRDefault="00BF1CC8" w:rsidP="00BF1CC8">
      <w:pPr>
        <w:jc w:val="center"/>
        <w:rPr>
          <w:b/>
          <w:bCs/>
        </w:rPr>
      </w:pPr>
      <w:r>
        <w:rPr>
          <w:b/>
          <w:bCs/>
        </w:rPr>
        <w:t xml:space="preserve">This document is also available in Welsh / </w:t>
      </w:r>
      <w:proofErr w:type="spellStart"/>
      <w:r>
        <w:rPr>
          <w:b/>
          <w:bCs/>
        </w:rPr>
        <w:t>Mae’r</w:t>
      </w:r>
      <w:proofErr w:type="spellEnd"/>
      <w:r>
        <w:rPr>
          <w:b/>
          <w:bCs/>
        </w:rPr>
        <w:t xml:space="preserve"> </w:t>
      </w:r>
      <w:proofErr w:type="spellStart"/>
      <w:r>
        <w:rPr>
          <w:b/>
          <w:bCs/>
        </w:rPr>
        <w:t>ddogfen</w:t>
      </w:r>
      <w:proofErr w:type="spellEnd"/>
      <w:r>
        <w:rPr>
          <w:b/>
          <w:bCs/>
        </w:rPr>
        <w:t xml:space="preserve"> hon </w:t>
      </w:r>
      <w:proofErr w:type="spellStart"/>
      <w:r>
        <w:rPr>
          <w:b/>
          <w:bCs/>
        </w:rPr>
        <w:t>hefyd</w:t>
      </w:r>
      <w:proofErr w:type="spellEnd"/>
      <w:r>
        <w:rPr>
          <w:b/>
          <w:bCs/>
        </w:rPr>
        <w:t xml:space="preserve"> </w:t>
      </w:r>
      <w:proofErr w:type="spellStart"/>
      <w:r>
        <w:rPr>
          <w:b/>
          <w:bCs/>
        </w:rPr>
        <w:t>ar</w:t>
      </w:r>
      <w:proofErr w:type="spellEnd"/>
      <w:r>
        <w:rPr>
          <w:b/>
          <w:bCs/>
        </w:rPr>
        <w:t xml:space="preserve"> </w:t>
      </w:r>
      <w:proofErr w:type="spellStart"/>
      <w:r>
        <w:rPr>
          <w:b/>
          <w:bCs/>
        </w:rPr>
        <w:t>gael</w:t>
      </w:r>
      <w:proofErr w:type="spellEnd"/>
      <w:r>
        <w:rPr>
          <w:b/>
          <w:bCs/>
        </w:rPr>
        <w:t xml:space="preserve"> </w:t>
      </w:r>
      <w:proofErr w:type="spellStart"/>
      <w:r>
        <w:rPr>
          <w:b/>
          <w:bCs/>
        </w:rPr>
        <w:t>yn</w:t>
      </w:r>
      <w:proofErr w:type="spellEnd"/>
      <w:r>
        <w:rPr>
          <w:b/>
          <w:bCs/>
        </w:rPr>
        <w:t xml:space="preserve"> </w:t>
      </w:r>
      <w:proofErr w:type="spellStart"/>
      <w:r>
        <w:rPr>
          <w:b/>
          <w:bCs/>
        </w:rPr>
        <w:t>Gymraeg</w:t>
      </w:r>
      <w:proofErr w:type="spellEnd"/>
    </w:p>
    <w:p w14:paraId="53CCAEC5" w14:textId="77777777" w:rsidR="004C652C" w:rsidRPr="0051011F" w:rsidRDefault="004C652C" w:rsidP="00AE2263">
      <w:pPr>
        <w:ind w:left="-142" w:right="-52"/>
        <w:rPr>
          <w:rFonts w:ascii="Calibri" w:hAnsi="Calibri" w:cs="Calibri"/>
          <w:color w:val="002D56"/>
          <w:kern w:val="22"/>
          <w:sz w:val="21"/>
          <w:szCs w:val="21"/>
        </w:rPr>
      </w:pPr>
    </w:p>
    <w:p w14:paraId="6C2FDF7F" w14:textId="7C89829E" w:rsidR="0051011F" w:rsidRPr="0051011F" w:rsidRDefault="0051011F" w:rsidP="0051011F">
      <w:pPr>
        <w:rPr>
          <w:rFonts w:ascii="Calibri" w:hAnsi="Calibri" w:cs="Calibri"/>
          <w:sz w:val="28"/>
          <w:szCs w:val="28"/>
        </w:rPr>
      </w:pPr>
    </w:p>
    <w:p w14:paraId="601A864E" w14:textId="77777777" w:rsidR="0051011F" w:rsidRPr="000A630B" w:rsidRDefault="0051011F" w:rsidP="000A630B">
      <w:pPr>
        <w:pStyle w:val="Heading2"/>
        <w:jc w:val="both"/>
        <w:rPr>
          <w:rFonts w:ascii="Calibri" w:hAnsi="Calibri" w:cs="Calibri"/>
          <w:color w:val="00B0F0"/>
          <w:sz w:val="32"/>
          <w:szCs w:val="32"/>
        </w:rPr>
      </w:pPr>
      <w:r w:rsidRPr="000A630B">
        <w:rPr>
          <w:rFonts w:ascii="Calibri" w:hAnsi="Calibri" w:cs="Calibri"/>
          <w:color w:val="00B0F0"/>
          <w:sz w:val="32"/>
          <w:szCs w:val="32"/>
        </w:rPr>
        <w:t>Data Centres</w:t>
      </w:r>
    </w:p>
    <w:p w14:paraId="749F3759" w14:textId="77777777" w:rsidR="0051011F" w:rsidRPr="000A630B" w:rsidRDefault="0051011F" w:rsidP="000A630B">
      <w:pPr>
        <w:pStyle w:val="NormalWeb"/>
        <w:jc w:val="both"/>
        <w:rPr>
          <w:rFonts w:ascii="Calibri" w:hAnsi="Calibri" w:cs="Calibri"/>
          <w:sz w:val="26"/>
          <w:szCs w:val="26"/>
        </w:rPr>
      </w:pPr>
      <w:r w:rsidRPr="000A630B">
        <w:rPr>
          <w:rFonts w:ascii="Calibri" w:hAnsi="Calibri" w:cs="Calibri"/>
          <w:sz w:val="26"/>
          <w:szCs w:val="26"/>
        </w:rPr>
        <w:t>Cardiff Metropolitan University operates modern, highly efficient on premise data centres. All equipment is specified appropriately, with no unnecessary energy consumption. Our main data centre campus has undergone a significant solar upgrade programme, as part of the University's sector leading commitment to net zero.</w:t>
      </w:r>
    </w:p>
    <w:p w14:paraId="1B1B4972" w14:textId="77777777" w:rsidR="0051011F" w:rsidRPr="000A630B" w:rsidRDefault="0051011F" w:rsidP="000A630B">
      <w:pPr>
        <w:pStyle w:val="NormalWeb"/>
        <w:jc w:val="both"/>
        <w:rPr>
          <w:rFonts w:ascii="Calibri" w:hAnsi="Calibri" w:cs="Calibri"/>
          <w:sz w:val="26"/>
          <w:szCs w:val="26"/>
        </w:rPr>
      </w:pPr>
      <w:r w:rsidRPr="000A630B">
        <w:rPr>
          <w:rFonts w:ascii="Calibri" w:hAnsi="Calibri" w:cs="Calibri"/>
          <w:sz w:val="26"/>
          <w:szCs w:val="26"/>
        </w:rPr>
        <w:t>Where specific services are moved to cloud, the sustainability credentials of providers are a core part of any tender process. This includes consideration of providers' use of renewable electricity and wider environmental sustainability commitments.</w:t>
      </w:r>
    </w:p>
    <w:p w14:paraId="00DD547D" w14:textId="17E8515B" w:rsidR="0051011F" w:rsidRPr="000A630B" w:rsidRDefault="0051011F" w:rsidP="000A630B">
      <w:pPr>
        <w:jc w:val="both"/>
        <w:rPr>
          <w:rFonts w:ascii="Calibri" w:hAnsi="Calibri" w:cs="Calibri"/>
        </w:rPr>
      </w:pPr>
    </w:p>
    <w:p w14:paraId="45FEEA1F" w14:textId="77777777" w:rsidR="0051011F" w:rsidRPr="000A630B" w:rsidRDefault="0051011F" w:rsidP="000A630B">
      <w:pPr>
        <w:pStyle w:val="Heading2"/>
        <w:jc w:val="both"/>
        <w:rPr>
          <w:rFonts w:ascii="Calibri" w:hAnsi="Calibri" w:cs="Calibri"/>
          <w:color w:val="00B0F0"/>
          <w:sz w:val="32"/>
          <w:szCs w:val="32"/>
        </w:rPr>
      </w:pPr>
      <w:r w:rsidRPr="000A630B">
        <w:rPr>
          <w:rFonts w:ascii="Calibri" w:hAnsi="Calibri" w:cs="Calibri"/>
          <w:color w:val="00B0F0"/>
          <w:sz w:val="32"/>
          <w:szCs w:val="32"/>
        </w:rPr>
        <w:t>Procurement Sustainability Standards</w:t>
      </w:r>
    </w:p>
    <w:p w14:paraId="5F686F44" w14:textId="2FCC529E" w:rsidR="0051011F" w:rsidRPr="000A630B" w:rsidRDefault="0051011F" w:rsidP="000A630B">
      <w:pPr>
        <w:pStyle w:val="NormalWeb"/>
        <w:jc w:val="both"/>
        <w:rPr>
          <w:rFonts w:ascii="Calibri" w:hAnsi="Calibri" w:cs="Calibri"/>
          <w:sz w:val="26"/>
          <w:szCs w:val="26"/>
        </w:rPr>
      </w:pPr>
      <w:r w:rsidRPr="000A630B">
        <w:rPr>
          <w:rFonts w:ascii="Calibri" w:hAnsi="Calibri" w:cs="Calibri"/>
          <w:sz w:val="26"/>
          <w:szCs w:val="26"/>
        </w:rPr>
        <w:t xml:space="preserve">Sustainability factors for suppliers are extremely important to the University. We use a combination of national frameworks and tenders for procurement, and in either case, standards such as ISO 14001 and ISO 50001 are included in all circumstances, to ensure that suppliers </w:t>
      </w:r>
      <w:r w:rsidR="000A630B">
        <w:rPr>
          <w:rFonts w:ascii="Calibri" w:hAnsi="Calibri" w:cs="Calibri"/>
          <w:sz w:val="26"/>
          <w:szCs w:val="26"/>
        </w:rPr>
        <w:t>share the same sustainability values.</w:t>
      </w:r>
    </w:p>
    <w:p w14:paraId="44817E5C" w14:textId="71AE55C1" w:rsidR="0051011F" w:rsidRPr="000A630B" w:rsidRDefault="0051011F" w:rsidP="000A630B">
      <w:pPr>
        <w:jc w:val="both"/>
        <w:rPr>
          <w:rFonts w:ascii="Calibri" w:hAnsi="Calibri" w:cs="Calibri"/>
        </w:rPr>
      </w:pPr>
    </w:p>
    <w:p w14:paraId="36D97686" w14:textId="77777777" w:rsidR="0051011F" w:rsidRPr="000A630B" w:rsidRDefault="0051011F" w:rsidP="000A630B">
      <w:pPr>
        <w:pStyle w:val="Heading2"/>
        <w:jc w:val="both"/>
        <w:rPr>
          <w:rFonts w:ascii="Calibri" w:hAnsi="Calibri" w:cs="Calibri"/>
          <w:color w:val="00B0F0"/>
          <w:sz w:val="32"/>
          <w:szCs w:val="32"/>
        </w:rPr>
      </w:pPr>
      <w:r w:rsidRPr="000A630B">
        <w:rPr>
          <w:rFonts w:ascii="Calibri" w:hAnsi="Calibri" w:cs="Calibri"/>
          <w:color w:val="00B0F0"/>
          <w:sz w:val="32"/>
          <w:szCs w:val="32"/>
        </w:rPr>
        <w:t>Website</w:t>
      </w:r>
    </w:p>
    <w:p w14:paraId="4FA4CA1F" w14:textId="4F3042A9" w:rsidR="0051011F" w:rsidRPr="000A630B" w:rsidRDefault="0051011F" w:rsidP="000A630B">
      <w:pPr>
        <w:pStyle w:val="NormalWeb"/>
        <w:jc w:val="both"/>
        <w:rPr>
          <w:rFonts w:ascii="Calibri" w:hAnsi="Calibri" w:cs="Calibri"/>
          <w:sz w:val="26"/>
          <w:szCs w:val="26"/>
        </w:rPr>
      </w:pPr>
      <w:r w:rsidRPr="000A630B">
        <w:rPr>
          <w:rFonts w:ascii="Calibri" w:hAnsi="Calibri" w:cs="Calibri"/>
          <w:sz w:val="26"/>
          <w:szCs w:val="26"/>
        </w:rPr>
        <w:t xml:space="preserve">Cardiff Met University's external website infrastructure is hosted within the </w:t>
      </w:r>
      <w:hyperlink r:id="rId12" w:history="1">
        <w:r w:rsidRPr="002D0C21">
          <w:rPr>
            <w:rStyle w:val="Hyperlink"/>
            <w:rFonts w:ascii="Calibri" w:hAnsi="Calibri" w:cs="Calibri"/>
            <w:sz w:val="26"/>
            <w:szCs w:val="26"/>
          </w:rPr>
          <w:t>Amazon Web Services (AWS)</w:t>
        </w:r>
      </w:hyperlink>
      <w:r w:rsidRPr="000A630B">
        <w:rPr>
          <w:rFonts w:ascii="Calibri" w:hAnsi="Calibri" w:cs="Calibri"/>
          <w:sz w:val="26"/>
          <w:szCs w:val="26"/>
        </w:rPr>
        <w:t xml:space="preserve"> cloud environment. AWS has invested significantly in improving the sustainability of its global infrastructure through increased energy efficiency, the use of renewable energy sources, more efficient cooling technologies and long-term commitments to reducing carbon emissions.</w:t>
      </w:r>
    </w:p>
    <w:p w14:paraId="7FEAE020" w14:textId="77777777" w:rsidR="0051011F" w:rsidRPr="000A630B" w:rsidRDefault="0051011F" w:rsidP="000A630B">
      <w:pPr>
        <w:pStyle w:val="NormalWeb"/>
        <w:jc w:val="both"/>
        <w:rPr>
          <w:rFonts w:ascii="Calibri" w:hAnsi="Calibri" w:cs="Calibri"/>
          <w:sz w:val="26"/>
          <w:szCs w:val="26"/>
        </w:rPr>
      </w:pPr>
      <w:r w:rsidRPr="000A630B">
        <w:rPr>
          <w:rFonts w:ascii="Calibri" w:hAnsi="Calibri" w:cs="Calibri"/>
          <w:sz w:val="26"/>
          <w:szCs w:val="26"/>
        </w:rPr>
        <w:t xml:space="preserve">AWS states that it has matched 100% of the electricity consumed across its operations with renewable energy generation and continues to invest in wind, solar and other low-carbon energy projects worldwide. By using shared cloud infrastructure, organisations can often benefit from efficiencies that are more difficult to achieve within traditional on-premises environments. As the University's external website infrastructure is </w:t>
      </w:r>
      <w:r w:rsidRPr="000A630B">
        <w:rPr>
          <w:rFonts w:ascii="Calibri" w:hAnsi="Calibri" w:cs="Calibri"/>
          <w:sz w:val="26"/>
          <w:szCs w:val="26"/>
        </w:rPr>
        <w:lastRenderedPageBreak/>
        <w:t>managed within this environment, Cardiff Met benefits from AWS's ongoing sustainability initiatives relating to the hosting platform.</w:t>
      </w:r>
    </w:p>
    <w:p w14:paraId="70A515CC" w14:textId="77777777" w:rsidR="0051011F" w:rsidRPr="000A630B" w:rsidRDefault="0051011F" w:rsidP="000A630B">
      <w:pPr>
        <w:pStyle w:val="NormalWeb"/>
        <w:jc w:val="both"/>
        <w:rPr>
          <w:rFonts w:ascii="Calibri" w:hAnsi="Calibri" w:cs="Calibri"/>
          <w:sz w:val="26"/>
          <w:szCs w:val="26"/>
        </w:rPr>
      </w:pPr>
      <w:r w:rsidRPr="000A630B">
        <w:rPr>
          <w:rFonts w:ascii="Calibri" w:hAnsi="Calibri" w:cs="Calibri"/>
          <w:sz w:val="26"/>
          <w:szCs w:val="26"/>
        </w:rPr>
        <w:t>To reduce unnecessary data transfer and improve the efficiency of the University's external website, website content is routinely reviewed and managed to ensure information remains current and unnecessary content is removed. By using shared cloud infrastructure, Cardiff Met also benefits from AWS's efficient hosting environment, helping to minimise unnecessary data transfer and energy use associated with website delivery.</w:t>
      </w:r>
    </w:p>
    <w:p w14:paraId="08421BCA" w14:textId="77777777" w:rsidR="0051011F" w:rsidRPr="000A630B" w:rsidRDefault="0051011F" w:rsidP="000A630B">
      <w:pPr>
        <w:pStyle w:val="NormalWeb"/>
        <w:jc w:val="both"/>
        <w:rPr>
          <w:rFonts w:ascii="Calibri" w:hAnsi="Calibri" w:cs="Calibri"/>
          <w:sz w:val="26"/>
          <w:szCs w:val="26"/>
        </w:rPr>
      </w:pPr>
      <w:r w:rsidRPr="000A630B">
        <w:rPr>
          <w:rStyle w:val="Emphasis"/>
          <w:rFonts w:ascii="Calibri" w:hAnsi="Calibri" w:cs="Calibri"/>
          <w:sz w:val="26"/>
          <w:szCs w:val="26"/>
        </w:rPr>
        <w:t>This statement relates specifically to the hosting infrastructure used for the University's external website and does not extend to wider University information technology systems, devices or third-party services.</w:t>
      </w:r>
    </w:p>
    <w:p w14:paraId="6B30BE6A" w14:textId="6EBEA3E3" w:rsidR="0051011F" w:rsidRPr="000A630B" w:rsidRDefault="0051011F" w:rsidP="000A630B">
      <w:pPr>
        <w:jc w:val="both"/>
        <w:rPr>
          <w:rFonts w:ascii="Calibri" w:hAnsi="Calibri" w:cs="Calibri"/>
          <w:color w:val="00B0F0"/>
          <w:sz w:val="32"/>
          <w:szCs w:val="32"/>
        </w:rPr>
      </w:pPr>
    </w:p>
    <w:p w14:paraId="4805E4E3" w14:textId="77777777" w:rsidR="0051011F" w:rsidRPr="000A630B" w:rsidRDefault="0051011F" w:rsidP="000A630B">
      <w:pPr>
        <w:pStyle w:val="Heading2"/>
        <w:jc w:val="both"/>
        <w:rPr>
          <w:rFonts w:ascii="Calibri" w:hAnsi="Calibri" w:cs="Calibri"/>
          <w:color w:val="00B0F0"/>
          <w:sz w:val="32"/>
          <w:szCs w:val="32"/>
        </w:rPr>
      </w:pPr>
      <w:r w:rsidRPr="000A630B">
        <w:rPr>
          <w:rFonts w:ascii="Calibri" w:hAnsi="Calibri" w:cs="Calibri"/>
          <w:color w:val="00B0F0"/>
          <w:sz w:val="32"/>
          <w:szCs w:val="32"/>
        </w:rPr>
        <w:t>Minimising Energy Consumption</w:t>
      </w:r>
    </w:p>
    <w:p w14:paraId="252AC663" w14:textId="77777777" w:rsidR="0051011F" w:rsidRPr="000A630B" w:rsidRDefault="0051011F" w:rsidP="000A630B">
      <w:pPr>
        <w:pStyle w:val="NormalWeb"/>
        <w:jc w:val="both"/>
        <w:rPr>
          <w:rFonts w:ascii="Calibri" w:hAnsi="Calibri" w:cs="Calibri"/>
          <w:sz w:val="26"/>
          <w:szCs w:val="26"/>
        </w:rPr>
      </w:pPr>
      <w:r w:rsidRPr="000A630B">
        <w:rPr>
          <w:rFonts w:ascii="Calibri" w:hAnsi="Calibri" w:cs="Calibri"/>
          <w:sz w:val="26"/>
          <w:szCs w:val="26"/>
        </w:rPr>
        <w:t>Cardiff Met has sustainable practices in place to reduce energy use of technology across the campuses. This includes setting equipment to turn off the screen and then sleep when inactive for a short period of time, automatically shutting down fixed computers left on after office hours, automatically turning off display panels and A/V equipment out of hours, and energy efficient power profiles on computers. With these settings enforced on computers as standard, we can reduce our reliance on individual behaviour.</w:t>
      </w:r>
    </w:p>
    <w:p w14:paraId="75098958" w14:textId="77777777" w:rsidR="0051011F" w:rsidRPr="000A630B" w:rsidRDefault="0051011F" w:rsidP="000A630B">
      <w:pPr>
        <w:pStyle w:val="NormalWeb"/>
        <w:jc w:val="both"/>
        <w:rPr>
          <w:rFonts w:ascii="Calibri" w:hAnsi="Calibri" w:cs="Calibri"/>
          <w:sz w:val="26"/>
          <w:szCs w:val="26"/>
        </w:rPr>
      </w:pPr>
      <w:r w:rsidRPr="000A630B">
        <w:rPr>
          <w:rFonts w:ascii="Calibri" w:hAnsi="Calibri" w:cs="Calibri"/>
          <w:sz w:val="26"/>
          <w:szCs w:val="26"/>
        </w:rPr>
        <w:t>Staff and students are encouraged to support these measures by shutting down devices when not in use for extended periods, avoiding unnecessary storage of duplicate files where appropriate, and making efficient use of digital technologies. These simple actions help reduce energy consumption and support the University's wider sustainability commitments.</w:t>
      </w:r>
    </w:p>
    <w:p w14:paraId="09E6FCD1" w14:textId="65009248" w:rsidR="0051011F" w:rsidRPr="000A630B" w:rsidRDefault="0051011F" w:rsidP="000A630B">
      <w:pPr>
        <w:jc w:val="both"/>
        <w:rPr>
          <w:rFonts w:ascii="Calibri" w:hAnsi="Calibri" w:cs="Calibri"/>
        </w:rPr>
      </w:pPr>
    </w:p>
    <w:p w14:paraId="57119923" w14:textId="77777777" w:rsidR="0051011F" w:rsidRPr="000A630B" w:rsidRDefault="0051011F" w:rsidP="000A630B">
      <w:pPr>
        <w:pStyle w:val="Heading2"/>
        <w:jc w:val="both"/>
        <w:rPr>
          <w:rFonts w:ascii="Calibri" w:hAnsi="Calibri" w:cs="Calibri"/>
          <w:color w:val="00B0F0"/>
          <w:sz w:val="32"/>
          <w:szCs w:val="32"/>
          <w:lang w:val="it-IT"/>
        </w:rPr>
      </w:pPr>
      <w:r w:rsidRPr="000A630B">
        <w:rPr>
          <w:rFonts w:ascii="Calibri" w:hAnsi="Calibri" w:cs="Calibri"/>
          <w:color w:val="00B0F0"/>
          <w:sz w:val="32"/>
          <w:szCs w:val="32"/>
          <w:lang w:val="it-IT"/>
        </w:rPr>
        <w:t>Cardiff Met Artificial Intelligence (AI) Student Hub</w:t>
      </w:r>
    </w:p>
    <w:p w14:paraId="592CC408" w14:textId="77777777" w:rsidR="0051011F" w:rsidRPr="000A630B" w:rsidRDefault="0051011F" w:rsidP="000A630B">
      <w:pPr>
        <w:pStyle w:val="NormalWeb"/>
        <w:jc w:val="both"/>
        <w:rPr>
          <w:rFonts w:ascii="Calibri" w:hAnsi="Calibri" w:cs="Calibri"/>
          <w:sz w:val="26"/>
          <w:szCs w:val="26"/>
        </w:rPr>
      </w:pPr>
      <w:r w:rsidRPr="000A630B">
        <w:rPr>
          <w:rFonts w:ascii="Calibri" w:hAnsi="Calibri" w:cs="Calibri"/>
          <w:sz w:val="26"/>
          <w:szCs w:val="26"/>
        </w:rPr>
        <w:t xml:space="preserve">Cardiff Metropolitan University's </w:t>
      </w:r>
      <w:r w:rsidRPr="000A630B">
        <w:rPr>
          <w:rStyle w:val="Strong"/>
          <w:rFonts w:ascii="Calibri" w:hAnsi="Calibri" w:cs="Calibri"/>
          <w:sz w:val="26"/>
          <w:szCs w:val="26"/>
        </w:rPr>
        <w:t>AI Student Hub</w:t>
      </w:r>
      <w:r w:rsidRPr="000A630B">
        <w:rPr>
          <w:rFonts w:ascii="Calibri" w:hAnsi="Calibri" w:cs="Calibri"/>
          <w:sz w:val="26"/>
          <w:szCs w:val="26"/>
        </w:rPr>
        <w:t xml:space="preserve"> provides clear, practical guidance to help students understand how artificial intelligence (AI) can be used responsibly, ethically and confidently throughout their studies.</w:t>
      </w:r>
    </w:p>
    <w:p w14:paraId="25694B76" w14:textId="77777777" w:rsidR="0051011F" w:rsidRPr="000A630B" w:rsidRDefault="0051011F" w:rsidP="000A630B">
      <w:pPr>
        <w:pStyle w:val="NormalWeb"/>
        <w:jc w:val="both"/>
        <w:rPr>
          <w:rFonts w:ascii="Calibri" w:hAnsi="Calibri" w:cs="Calibri"/>
          <w:sz w:val="26"/>
          <w:szCs w:val="26"/>
        </w:rPr>
      </w:pPr>
      <w:r w:rsidRPr="000A630B">
        <w:rPr>
          <w:rFonts w:ascii="Calibri" w:hAnsi="Calibri" w:cs="Calibri"/>
          <w:sz w:val="26"/>
          <w:szCs w:val="26"/>
        </w:rPr>
        <w:t>Cardiff Met runs AI training for staff and students, and responsible, ethical and sustainable use are a core part of this. Prompting effectively to reduce the number of interactions, as well as not using AI frivolously are key parts that have sustainability in mind.</w:t>
      </w:r>
    </w:p>
    <w:p w14:paraId="5380BE90" w14:textId="2F59ADCC" w:rsidR="0051011F" w:rsidRPr="000A630B" w:rsidRDefault="0051011F" w:rsidP="000A630B">
      <w:pPr>
        <w:pStyle w:val="NormalWeb"/>
        <w:jc w:val="both"/>
        <w:rPr>
          <w:rFonts w:ascii="Calibri" w:hAnsi="Calibri" w:cs="Calibri"/>
          <w:sz w:val="26"/>
          <w:szCs w:val="26"/>
        </w:rPr>
      </w:pPr>
      <w:r w:rsidRPr="000A630B">
        <w:rPr>
          <w:rFonts w:ascii="Calibri" w:hAnsi="Calibri" w:cs="Calibri"/>
          <w:sz w:val="26"/>
          <w:szCs w:val="26"/>
        </w:rPr>
        <w:t xml:space="preserve">The University's guidance also highlights the importance of human accountability for AI-generated outputs, recognising that AI can produce inaccurate or unreliable information, </w:t>
      </w:r>
      <w:r w:rsidR="002D0C21" w:rsidRPr="000A630B">
        <w:rPr>
          <w:rFonts w:ascii="Calibri" w:hAnsi="Calibri" w:cs="Calibri"/>
          <w:sz w:val="26"/>
          <w:szCs w:val="26"/>
        </w:rPr>
        <w:t>protect</w:t>
      </w:r>
      <w:r w:rsidRPr="000A630B">
        <w:rPr>
          <w:rFonts w:ascii="Calibri" w:hAnsi="Calibri" w:cs="Calibri"/>
          <w:sz w:val="26"/>
          <w:szCs w:val="26"/>
        </w:rPr>
        <w:t xml:space="preserve"> personal and confidential information when </w:t>
      </w:r>
      <w:proofErr w:type="gramStart"/>
      <w:r w:rsidRPr="000A630B">
        <w:rPr>
          <w:rFonts w:ascii="Calibri" w:hAnsi="Calibri" w:cs="Calibri"/>
          <w:sz w:val="26"/>
          <w:szCs w:val="26"/>
        </w:rPr>
        <w:t>using</w:t>
      </w:r>
      <w:proofErr w:type="gramEnd"/>
      <w:r w:rsidRPr="000A630B">
        <w:rPr>
          <w:rFonts w:ascii="Calibri" w:hAnsi="Calibri" w:cs="Calibri"/>
          <w:sz w:val="26"/>
          <w:szCs w:val="26"/>
        </w:rPr>
        <w:t xml:space="preserve"> AI tools, and understanding the environmental impacts associated with AI use.</w:t>
      </w:r>
    </w:p>
    <w:p w14:paraId="0D1B8C35" w14:textId="77777777" w:rsidR="0051011F" w:rsidRPr="000A630B" w:rsidRDefault="0051011F" w:rsidP="000A630B">
      <w:pPr>
        <w:pStyle w:val="NormalWeb"/>
        <w:jc w:val="both"/>
        <w:rPr>
          <w:rFonts w:ascii="Calibri" w:hAnsi="Calibri" w:cs="Calibri"/>
          <w:sz w:val="26"/>
          <w:szCs w:val="26"/>
        </w:rPr>
      </w:pPr>
      <w:r w:rsidRPr="000A630B">
        <w:rPr>
          <w:rFonts w:ascii="Calibri" w:hAnsi="Calibri" w:cs="Calibri"/>
          <w:sz w:val="26"/>
          <w:szCs w:val="26"/>
        </w:rPr>
        <w:lastRenderedPageBreak/>
        <w:t>As a University we wish to see more transparency from providers, and we are following the recent advice from Jisc in this regard. As more data becomes available we will continue to evolve our guidance and principles to help minimise the impact on our environment.</w:t>
      </w:r>
    </w:p>
    <w:p w14:paraId="74DE8453" w14:textId="77777777" w:rsidR="0051011F" w:rsidRPr="000A630B" w:rsidRDefault="0051011F" w:rsidP="000A630B">
      <w:pPr>
        <w:pStyle w:val="NormalWeb"/>
        <w:jc w:val="both"/>
        <w:rPr>
          <w:rFonts w:ascii="Calibri" w:hAnsi="Calibri" w:cs="Calibri"/>
          <w:sz w:val="26"/>
          <w:szCs w:val="26"/>
        </w:rPr>
      </w:pPr>
      <w:r w:rsidRPr="000A630B">
        <w:rPr>
          <w:rFonts w:ascii="Calibri" w:hAnsi="Calibri" w:cs="Calibri"/>
          <w:sz w:val="26"/>
          <w:szCs w:val="26"/>
        </w:rPr>
        <w:t xml:space="preserve">The </w:t>
      </w:r>
      <w:r w:rsidRPr="000A630B">
        <w:rPr>
          <w:rStyle w:val="Strong"/>
          <w:rFonts w:ascii="Calibri" w:hAnsi="Calibri" w:cs="Calibri"/>
          <w:sz w:val="26"/>
          <w:szCs w:val="26"/>
        </w:rPr>
        <w:t>AI Staff Hub</w:t>
      </w:r>
      <w:r w:rsidRPr="000A630B">
        <w:rPr>
          <w:rFonts w:ascii="Calibri" w:hAnsi="Calibri" w:cs="Calibri"/>
          <w:sz w:val="26"/>
          <w:szCs w:val="26"/>
        </w:rPr>
        <w:t xml:space="preserve"> is our internal space for guidance, tools and professional development opportunities designed specifically for Cardiff Met colleagues. It helps staff make confident, informed decisions about AI and ensures its use aligns with our mission, values and commitment to academic integrity.</w:t>
      </w:r>
    </w:p>
    <w:p w14:paraId="17875167" w14:textId="4A9CA0AC" w:rsidR="0051011F" w:rsidRPr="000A630B" w:rsidRDefault="0051011F" w:rsidP="000A630B">
      <w:pPr>
        <w:pStyle w:val="NormalWeb"/>
        <w:jc w:val="both"/>
        <w:rPr>
          <w:rFonts w:ascii="Calibri" w:hAnsi="Calibri" w:cs="Calibri"/>
          <w:sz w:val="26"/>
          <w:szCs w:val="26"/>
        </w:rPr>
      </w:pPr>
      <w:r w:rsidRPr="000A630B">
        <w:rPr>
          <w:rFonts w:ascii="Calibri" w:hAnsi="Calibri" w:cs="Calibri"/>
          <w:sz w:val="26"/>
          <w:szCs w:val="26"/>
        </w:rPr>
        <w:t xml:space="preserve">If you are a Cardiff Met staff member, you can explore the full collection of guidance, tools and resources by visiting the internal </w:t>
      </w:r>
      <w:hyperlink r:id="rId13" w:history="1">
        <w:r w:rsidRPr="000A630B">
          <w:rPr>
            <w:rStyle w:val="Hyperlink"/>
            <w:rFonts w:ascii="Calibri" w:hAnsi="Calibri" w:cs="Calibri"/>
            <w:sz w:val="26"/>
            <w:szCs w:val="26"/>
          </w:rPr>
          <w:t>AI St</w:t>
        </w:r>
        <w:r w:rsidRPr="000A630B">
          <w:rPr>
            <w:rStyle w:val="Hyperlink"/>
            <w:rFonts w:ascii="Calibri" w:hAnsi="Calibri" w:cs="Calibri"/>
            <w:sz w:val="26"/>
            <w:szCs w:val="26"/>
          </w:rPr>
          <w:t>aff Hub.</w:t>
        </w:r>
      </w:hyperlink>
    </w:p>
    <w:p w14:paraId="0202979D" w14:textId="203BFF31" w:rsidR="000A630B" w:rsidRPr="000A630B" w:rsidRDefault="0051011F" w:rsidP="000A630B">
      <w:pPr>
        <w:pStyle w:val="NormalWeb"/>
        <w:jc w:val="both"/>
        <w:rPr>
          <w:rFonts w:ascii="Calibri" w:hAnsi="Calibri" w:cs="Calibri"/>
          <w:sz w:val="26"/>
          <w:szCs w:val="26"/>
        </w:rPr>
      </w:pPr>
      <w:r w:rsidRPr="000A630B">
        <w:rPr>
          <w:rFonts w:ascii="Calibri" w:hAnsi="Calibri" w:cs="Calibri"/>
          <w:sz w:val="26"/>
          <w:szCs w:val="26"/>
        </w:rPr>
        <w:t xml:space="preserve">If you are a Cardiff Met student, you can explore the full collection of guidance, tools and resources by visiting the internal </w:t>
      </w:r>
      <w:hyperlink r:id="rId14" w:history="1">
        <w:r w:rsidRPr="000A630B">
          <w:rPr>
            <w:rStyle w:val="Hyperlink"/>
            <w:rFonts w:ascii="Calibri" w:hAnsi="Calibri" w:cs="Calibri"/>
            <w:sz w:val="26"/>
            <w:szCs w:val="26"/>
          </w:rPr>
          <w:t>AI Student Hub.</w:t>
        </w:r>
      </w:hyperlink>
    </w:p>
    <w:p w14:paraId="40329B2D" w14:textId="77777777" w:rsidR="000A630B" w:rsidRPr="000A630B" w:rsidRDefault="000A630B" w:rsidP="000A630B">
      <w:pPr>
        <w:pStyle w:val="Heading2"/>
        <w:jc w:val="both"/>
        <w:rPr>
          <w:rFonts w:ascii="Calibri" w:hAnsi="Calibri" w:cs="Calibri"/>
          <w:color w:val="00B0F0"/>
          <w:sz w:val="32"/>
          <w:szCs w:val="32"/>
        </w:rPr>
      </w:pPr>
      <w:r w:rsidRPr="000A630B">
        <w:rPr>
          <w:rFonts w:ascii="Calibri" w:hAnsi="Calibri" w:cs="Calibri"/>
          <w:color w:val="00B0F0"/>
          <w:sz w:val="32"/>
          <w:szCs w:val="32"/>
        </w:rPr>
        <w:t>Sustainable Management of IT Equipment and E-Waste</w:t>
      </w:r>
    </w:p>
    <w:p w14:paraId="7077D294" w14:textId="77777777" w:rsidR="000A630B" w:rsidRPr="000A630B" w:rsidRDefault="000A630B" w:rsidP="000A630B">
      <w:pPr>
        <w:spacing w:before="100" w:beforeAutospacing="1" w:after="100" w:afterAutospacing="1"/>
        <w:jc w:val="both"/>
        <w:rPr>
          <w:rFonts w:ascii="Calibri" w:hAnsi="Calibri" w:cs="Calibri"/>
          <w:sz w:val="26"/>
          <w:szCs w:val="26"/>
        </w:rPr>
      </w:pPr>
      <w:r w:rsidRPr="000A630B">
        <w:rPr>
          <w:rFonts w:ascii="Calibri" w:hAnsi="Calibri" w:cs="Calibri"/>
          <w:sz w:val="26"/>
          <w:szCs w:val="26"/>
        </w:rPr>
        <w:t>Cardiff Metropolitan University takes a proactive approach to minimising electronic waste (e-waste) by extending the life of IT equipment wherever possible and ensuring that devices are reused, refurbished or responsibly recycled at the end of their useful life.</w:t>
      </w:r>
    </w:p>
    <w:p w14:paraId="3FD671AD" w14:textId="77777777" w:rsidR="000A630B" w:rsidRPr="000A630B" w:rsidRDefault="000A630B" w:rsidP="000A630B">
      <w:pPr>
        <w:pStyle w:val="NormalWeb"/>
        <w:jc w:val="both"/>
        <w:rPr>
          <w:rFonts w:ascii="Calibri" w:hAnsi="Calibri" w:cs="Calibri"/>
          <w:sz w:val="26"/>
          <w:szCs w:val="26"/>
        </w:rPr>
      </w:pPr>
      <w:r w:rsidRPr="000A630B">
        <w:rPr>
          <w:rFonts w:ascii="Calibri" w:hAnsi="Calibri" w:cs="Calibri"/>
          <w:sz w:val="26"/>
          <w:szCs w:val="26"/>
        </w:rPr>
        <w:t>For all end user computers, we maximise the life of equipment by making serviceable decommissioned devices available to students where appropriate before recycling or disposal. This supports the University's commitment to reducing waste and promoting the circular economy.</w:t>
      </w:r>
    </w:p>
    <w:p w14:paraId="20D3C1B5" w14:textId="77777777" w:rsidR="000A630B" w:rsidRPr="000A630B" w:rsidRDefault="000A630B" w:rsidP="000A630B">
      <w:pPr>
        <w:pStyle w:val="NormalWeb"/>
        <w:jc w:val="both"/>
        <w:rPr>
          <w:rFonts w:ascii="Calibri" w:hAnsi="Calibri" w:cs="Calibri"/>
          <w:sz w:val="26"/>
          <w:szCs w:val="26"/>
        </w:rPr>
      </w:pPr>
      <w:r w:rsidRPr="000A630B">
        <w:rPr>
          <w:rFonts w:ascii="Calibri" w:hAnsi="Calibri" w:cs="Calibri"/>
          <w:sz w:val="26"/>
          <w:szCs w:val="26"/>
        </w:rPr>
        <w:t xml:space="preserve">Where devices cannot be reused, they are sent to our approved IT asset disposal partner, </w:t>
      </w:r>
      <w:r w:rsidRPr="000A630B">
        <w:rPr>
          <w:rStyle w:val="Strong"/>
          <w:rFonts w:ascii="Calibri" w:hAnsi="Calibri" w:cs="Calibri"/>
          <w:sz w:val="26"/>
          <w:szCs w:val="26"/>
        </w:rPr>
        <w:t>Stone Computers</w:t>
      </w:r>
      <w:r w:rsidRPr="000A630B">
        <w:rPr>
          <w:rFonts w:ascii="Calibri" w:hAnsi="Calibri" w:cs="Calibri"/>
          <w:sz w:val="26"/>
          <w:szCs w:val="26"/>
        </w:rPr>
        <w:t>, who operate a zero waste to landfill policy. Infrastructure hardware is also processed through this partner, with the aim of maximising reuse, refurbishment and material recovery.</w:t>
      </w:r>
    </w:p>
    <w:p w14:paraId="76BAF7A5" w14:textId="0C3B5EAD" w:rsidR="000A630B" w:rsidRPr="000A630B" w:rsidRDefault="000A630B" w:rsidP="000A630B">
      <w:pPr>
        <w:pStyle w:val="NormalWeb"/>
        <w:jc w:val="both"/>
        <w:rPr>
          <w:rFonts w:ascii="Calibri" w:hAnsi="Calibri" w:cs="Calibri"/>
          <w:sz w:val="26"/>
          <w:szCs w:val="26"/>
        </w:rPr>
      </w:pPr>
      <w:r w:rsidRPr="000A630B">
        <w:rPr>
          <w:rFonts w:ascii="Calibri" w:hAnsi="Calibri" w:cs="Calibri"/>
          <w:sz w:val="26"/>
          <w:szCs w:val="26"/>
        </w:rPr>
        <w:t xml:space="preserve">Electronic waste (e-waste) is managed in accordance with the University's </w:t>
      </w:r>
      <w:hyperlink r:id="rId15" w:history="1">
        <w:r w:rsidRPr="000A630B">
          <w:rPr>
            <w:rStyle w:val="Hyperlink"/>
            <w:rFonts w:ascii="Calibri" w:hAnsi="Calibri" w:cs="Calibri"/>
            <w:sz w:val="26"/>
            <w:szCs w:val="26"/>
          </w:rPr>
          <w:t>Waste Management Policy</w:t>
        </w:r>
      </w:hyperlink>
      <w:r w:rsidRPr="000A630B">
        <w:rPr>
          <w:rFonts w:ascii="Calibri" w:hAnsi="Calibri" w:cs="Calibri"/>
          <w:sz w:val="26"/>
          <w:szCs w:val="26"/>
        </w:rPr>
        <w:t xml:space="preserve"> and ISO 14001 certified Environmental Management System. Waste Electrical and Electronic Equipment (WEEE) is appropriately segregated and managed through approved disposal routes to ensure compliance with environmental legislation and minimise waste sent to landfill.</w:t>
      </w:r>
    </w:p>
    <w:p w14:paraId="7DBB6C4C" w14:textId="77777777" w:rsidR="000A630B" w:rsidRPr="000A630B" w:rsidRDefault="000A630B" w:rsidP="000A630B">
      <w:pPr>
        <w:pStyle w:val="NormalWeb"/>
        <w:jc w:val="both"/>
        <w:rPr>
          <w:rFonts w:ascii="Calibri" w:hAnsi="Calibri" w:cs="Calibri"/>
          <w:sz w:val="26"/>
          <w:szCs w:val="26"/>
        </w:rPr>
      </w:pPr>
      <w:r w:rsidRPr="000A630B">
        <w:rPr>
          <w:rFonts w:ascii="Calibri" w:hAnsi="Calibri" w:cs="Calibri"/>
          <w:sz w:val="26"/>
          <w:szCs w:val="26"/>
        </w:rPr>
        <w:t>Alongside responsible disposal, the University seeks to minimise waste through sustainable procurement, extending the lifespan of equipment wherever practical and encouraging the reuse of devices before replacement.</w:t>
      </w:r>
    </w:p>
    <w:p w14:paraId="432A2A66" w14:textId="38740211" w:rsidR="00C067E2" w:rsidRPr="000A630B" w:rsidRDefault="00C067E2" w:rsidP="00C067E2">
      <w:pPr>
        <w:ind w:left="-142"/>
        <w:jc w:val="both"/>
        <w:rPr>
          <w:rFonts w:ascii="Calibri" w:hAnsi="Calibri" w:cs="Calibri"/>
          <w:color w:val="002D56"/>
          <w:shd w:val="clear" w:color="auto" w:fill="FFFFFF"/>
        </w:rPr>
      </w:pPr>
    </w:p>
    <w:p w14:paraId="2826D9CE" w14:textId="387F13CA" w:rsidR="0069323A" w:rsidRDefault="0069323A" w:rsidP="00C95C83">
      <w:pPr>
        <w:jc w:val="both"/>
        <w:rPr>
          <w:rFonts w:ascii="Gotham Book" w:hAnsi="Gotham Book" w:cs="Times New Roman (Body CS)"/>
          <w:color w:val="002D56"/>
          <w:kern w:val="22"/>
          <w:sz w:val="20"/>
          <w:szCs w:val="20"/>
        </w:rPr>
      </w:pPr>
    </w:p>
    <w:p w14:paraId="48760ACA" w14:textId="77777777" w:rsidR="006B7480" w:rsidRDefault="006B7480" w:rsidP="00C95C83">
      <w:pPr>
        <w:jc w:val="both"/>
        <w:rPr>
          <w:rFonts w:ascii="Gotham Book" w:hAnsi="Gotham Book" w:cs="Times New Roman (Body CS)"/>
          <w:color w:val="002D56"/>
          <w:kern w:val="22"/>
          <w:sz w:val="20"/>
          <w:szCs w:val="20"/>
        </w:rPr>
      </w:pPr>
    </w:p>
    <w:p w14:paraId="5DEE35F5" w14:textId="77777777" w:rsidR="006B7480" w:rsidRDefault="006B7480" w:rsidP="00C95C83">
      <w:pPr>
        <w:jc w:val="both"/>
        <w:rPr>
          <w:rFonts w:ascii="Gotham Book" w:hAnsi="Gotham Book" w:cs="Times New Roman (Body CS)"/>
          <w:color w:val="002D56"/>
          <w:kern w:val="22"/>
          <w:sz w:val="20"/>
          <w:szCs w:val="20"/>
        </w:rPr>
      </w:pPr>
    </w:p>
    <w:p w14:paraId="0A21AD5E" w14:textId="77777777" w:rsidR="006B7480" w:rsidRPr="00327008" w:rsidRDefault="006B7480" w:rsidP="00C95C83">
      <w:pPr>
        <w:jc w:val="both"/>
        <w:rPr>
          <w:rFonts w:ascii="Gotham Book" w:hAnsi="Gotham Book" w:cs="Times New Roman (Body CS)"/>
          <w:color w:val="002D56"/>
          <w:kern w:val="22"/>
          <w:sz w:val="20"/>
          <w:szCs w:val="20"/>
        </w:rPr>
      </w:pPr>
    </w:p>
    <w:sectPr w:rsidR="006B7480" w:rsidRPr="00327008" w:rsidSect="00C95C83">
      <w:footerReference w:type="even" r:id="rId16"/>
      <w:footerReference w:type="default" r:id="rId17"/>
      <w:pgSz w:w="11900" w:h="16840"/>
      <w:pgMar w:top="684" w:right="1440" w:bottom="1440" w:left="115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84EC48" w14:textId="77777777" w:rsidR="007E7009" w:rsidRDefault="007E7009" w:rsidP="00AC2215">
      <w:r>
        <w:separator/>
      </w:r>
    </w:p>
  </w:endnote>
  <w:endnote w:type="continuationSeparator" w:id="0">
    <w:p w14:paraId="07EE5558" w14:textId="77777777" w:rsidR="007E7009" w:rsidRDefault="007E7009" w:rsidP="00AC2215">
      <w:r>
        <w:continuationSeparator/>
      </w:r>
    </w:p>
  </w:endnote>
  <w:endnote w:type="continuationNotice" w:id="1">
    <w:p w14:paraId="648681AE" w14:textId="77777777" w:rsidR="007E7009" w:rsidRDefault="007E700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GALAXIECOPERNICUS-SEMIBOLD">
    <w:altName w:val="Calibri"/>
    <w:panose1 w:val="00000000000000000000"/>
    <w:charset w:val="4D"/>
    <w:family w:val="auto"/>
    <w:notTrueType/>
    <w:pitch w:val="variable"/>
    <w:sig w:usb0="800000EF" w:usb1="500160FB" w:usb2="00000010" w:usb3="00000000" w:csb0="0000009B" w:csb1="00000000"/>
  </w:font>
  <w:font w:name="Times New Roman (Body CS)">
    <w:panose1 w:val="00000000000000000000"/>
    <w:charset w:val="00"/>
    <w:family w:val="roman"/>
    <w:notTrueType/>
    <w:pitch w:val="default"/>
  </w:font>
  <w:font w:name="Gotham Book">
    <w:altName w:val="Calibri"/>
    <w:panose1 w:val="00000000000000000000"/>
    <w:charset w:val="00"/>
    <w:family w:val="modern"/>
    <w:notTrueType/>
    <w:pitch w:val="variable"/>
    <w:sig w:usb0="00000087" w:usb1="00000000" w:usb2="00000000" w:usb3="00000000" w:csb0="0000000B"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061928427"/>
      <w:docPartObj>
        <w:docPartGallery w:val="Page Numbers (Bottom of Page)"/>
        <w:docPartUnique/>
      </w:docPartObj>
    </w:sdtPr>
    <w:sdtContent>
      <w:p w14:paraId="2826D9DF" w14:textId="77777777" w:rsidR="00AC2215" w:rsidRDefault="00AC2215" w:rsidP="00BE608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BE608B">
          <w:rPr>
            <w:rStyle w:val="PageNumber"/>
            <w:noProof/>
          </w:rPr>
          <w:t>1</w:t>
        </w:r>
        <w:r>
          <w:rPr>
            <w:rStyle w:val="PageNumber"/>
          </w:rPr>
          <w:fldChar w:fldCharType="end"/>
        </w:r>
      </w:p>
    </w:sdtContent>
  </w:sdt>
  <w:p w14:paraId="2826D9E0" w14:textId="77777777" w:rsidR="00AC2215" w:rsidRDefault="00AC2215" w:rsidP="00AC221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144930280"/>
      <w:docPartObj>
        <w:docPartGallery w:val="Page Numbers (Bottom of Page)"/>
        <w:docPartUnique/>
      </w:docPartObj>
    </w:sdtPr>
    <w:sdtEndPr>
      <w:rPr>
        <w:rStyle w:val="PageNumber"/>
        <w:sz w:val="18"/>
        <w:szCs w:val="18"/>
      </w:rPr>
    </w:sdtEndPr>
    <w:sdtContent>
      <w:p w14:paraId="2826D9E1" w14:textId="77777777" w:rsidR="00BE608B" w:rsidRPr="00C95C83" w:rsidRDefault="00BE608B" w:rsidP="00BE608B">
        <w:pPr>
          <w:pStyle w:val="Footer"/>
          <w:framePr w:wrap="none" w:vAnchor="text" w:hAnchor="page" w:x="10324" w:y="-39"/>
          <w:rPr>
            <w:rStyle w:val="PageNumber"/>
            <w:sz w:val="18"/>
            <w:szCs w:val="18"/>
          </w:rPr>
        </w:pPr>
        <w:r w:rsidRPr="00C95C83">
          <w:rPr>
            <w:rStyle w:val="PageNumber"/>
            <w:sz w:val="18"/>
            <w:szCs w:val="18"/>
          </w:rPr>
          <w:fldChar w:fldCharType="begin"/>
        </w:r>
        <w:r w:rsidRPr="00C95C83">
          <w:rPr>
            <w:rStyle w:val="PageNumber"/>
            <w:sz w:val="18"/>
            <w:szCs w:val="18"/>
          </w:rPr>
          <w:instrText xml:space="preserve"> PAGE </w:instrText>
        </w:r>
        <w:r w:rsidRPr="00C95C83">
          <w:rPr>
            <w:rStyle w:val="PageNumber"/>
            <w:sz w:val="18"/>
            <w:szCs w:val="18"/>
          </w:rPr>
          <w:fldChar w:fldCharType="separate"/>
        </w:r>
        <w:r w:rsidRPr="00C95C83">
          <w:rPr>
            <w:rStyle w:val="PageNumber"/>
            <w:noProof/>
            <w:sz w:val="18"/>
            <w:szCs w:val="18"/>
          </w:rPr>
          <w:t>1</w:t>
        </w:r>
        <w:r w:rsidRPr="00C95C83">
          <w:rPr>
            <w:rStyle w:val="PageNumber"/>
            <w:sz w:val="18"/>
            <w:szCs w:val="18"/>
          </w:rPr>
          <w:fldChar w:fldCharType="end"/>
        </w:r>
      </w:p>
    </w:sdtContent>
  </w:sdt>
  <w:p w14:paraId="2826D9E2" w14:textId="77777777" w:rsidR="00AC2215" w:rsidRDefault="00BE608B" w:rsidP="00C95C83">
    <w:pPr>
      <w:pStyle w:val="Footer"/>
      <w:ind w:right="360"/>
    </w:pPr>
    <w:r>
      <w:rPr>
        <w:noProof/>
      </w:rPr>
      <w:drawing>
        <wp:inline distT="0" distB="0" distL="0" distR="0" wp14:anchorId="2826D9E3" wp14:editId="2826D9E4">
          <wp:extent cx="1584073" cy="139700"/>
          <wp:effectExtent l="0" t="0" r="381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extLst>
                      <a:ext uri="{28A0092B-C50C-407E-A947-70E740481C1C}">
                        <a14:useLocalDpi xmlns:a14="http://schemas.microsoft.com/office/drawing/2010/main" val="0"/>
                      </a:ext>
                    </a:extLst>
                  </a:blip>
                  <a:stretch>
                    <a:fillRect/>
                  </a:stretch>
                </pic:blipFill>
                <pic:spPr>
                  <a:xfrm>
                    <a:off x="0" y="0"/>
                    <a:ext cx="2558344" cy="225621"/>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596568" w14:textId="77777777" w:rsidR="007E7009" w:rsidRDefault="007E7009" w:rsidP="00AC2215">
      <w:r>
        <w:separator/>
      </w:r>
    </w:p>
  </w:footnote>
  <w:footnote w:type="continuationSeparator" w:id="0">
    <w:p w14:paraId="1CB44570" w14:textId="77777777" w:rsidR="007E7009" w:rsidRDefault="007E7009" w:rsidP="00AC2215">
      <w:r>
        <w:continuationSeparator/>
      </w:r>
    </w:p>
  </w:footnote>
  <w:footnote w:type="continuationNotice" w:id="1">
    <w:p w14:paraId="709B16B4" w14:textId="77777777" w:rsidR="007E7009" w:rsidRDefault="007E700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003B15"/>
    <w:multiLevelType w:val="multilevel"/>
    <w:tmpl w:val="A26ED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506316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298E"/>
    <w:rsid w:val="00044B6C"/>
    <w:rsid w:val="00054C59"/>
    <w:rsid w:val="00062321"/>
    <w:rsid w:val="000778C3"/>
    <w:rsid w:val="00086E24"/>
    <w:rsid w:val="000A630B"/>
    <w:rsid w:val="000D5CE5"/>
    <w:rsid w:val="001E031F"/>
    <w:rsid w:val="00210F7D"/>
    <w:rsid w:val="00221CEA"/>
    <w:rsid w:val="002565E2"/>
    <w:rsid w:val="00280DFA"/>
    <w:rsid w:val="0028316E"/>
    <w:rsid w:val="002920C6"/>
    <w:rsid w:val="002B7A54"/>
    <w:rsid w:val="002D0C21"/>
    <w:rsid w:val="002D48F5"/>
    <w:rsid w:val="00327008"/>
    <w:rsid w:val="00374BA2"/>
    <w:rsid w:val="003802B5"/>
    <w:rsid w:val="003A4ABD"/>
    <w:rsid w:val="003A5AAE"/>
    <w:rsid w:val="003A7586"/>
    <w:rsid w:val="003D298E"/>
    <w:rsid w:val="0041058E"/>
    <w:rsid w:val="0043303A"/>
    <w:rsid w:val="00441D8E"/>
    <w:rsid w:val="0045578C"/>
    <w:rsid w:val="004A3228"/>
    <w:rsid w:val="004C652C"/>
    <w:rsid w:val="0051011F"/>
    <w:rsid w:val="00522A4E"/>
    <w:rsid w:val="005D7DF3"/>
    <w:rsid w:val="005E4A16"/>
    <w:rsid w:val="0060259E"/>
    <w:rsid w:val="00602F3F"/>
    <w:rsid w:val="00606C04"/>
    <w:rsid w:val="00637370"/>
    <w:rsid w:val="006410A8"/>
    <w:rsid w:val="006602E1"/>
    <w:rsid w:val="00676E37"/>
    <w:rsid w:val="0069323A"/>
    <w:rsid w:val="006B7480"/>
    <w:rsid w:val="006F189E"/>
    <w:rsid w:val="00770A2F"/>
    <w:rsid w:val="00780B52"/>
    <w:rsid w:val="007B4ACA"/>
    <w:rsid w:val="007C3ACB"/>
    <w:rsid w:val="007C4B66"/>
    <w:rsid w:val="007D117C"/>
    <w:rsid w:val="007D1C1B"/>
    <w:rsid w:val="007E17D6"/>
    <w:rsid w:val="007E1C56"/>
    <w:rsid w:val="007E5D7F"/>
    <w:rsid w:val="007E7009"/>
    <w:rsid w:val="007E765A"/>
    <w:rsid w:val="008360CD"/>
    <w:rsid w:val="00883960"/>
    <w:rsid w:val="008A0F6E"/>
    <w:rsid w:val="008D3CC1"/>
    <w:rsid w:val="008D46C5"/>
    <w:rsid w:val="008F2488"/>
    <w:rsid w:val="008F5682"/>
    <w:rsid w:val="00901181"/>
    <w:rsid w:val="00915EC6"/>
    <w:rsid w:val="009C629D"/>
    <w:rsid w:val="00A17C08"/>
    <w:rsid w:val="00A5364F"/>
    <w:rsid w:val="00A558AF"/>
    <w:rsid w:val="00A60284"/>
    <w:rsid w:val="00AA293C"/>
    <w:rsid w:val="00AC2215"/>
    <w:rsid w:val="00AE2263"/>
    <w:rsid w:val="00AE22AA"/>
    <w:rsid w:val="00AE3C3A"/>
    <w:rsid w:val="00AF1BDF"/>
    <w:rsid w:val="00AF3F88"/>
    <w:rsid w:val="00B40EE9"/>
    <w:rsid w:val="00B57E78"/>
    <w:rsid w:val="00B6017C"/>
    <w:rsid w:val="00B6662D"/>
    <w:rsid w:val="00B67174"/>
    <w:rsid w:val="00B773E6"/>
    <w:rsid w:val="00BA5257"/>
    <w:rsid w:val="00BB3B9D"/>
    <w:rsid w:val="00BC6B24"/>
    <w:rsid w:val="00BE608B"/>
    <w:rsid w:val="00BF1CC8"/>
    <w:rsid w:val="00C067E2"/>
    <w:rsid w:val="00C76E13"/>
    <w:rsid w:val="00C95C83"/>
    <w:rsid w:val="00CD57ED"/>
    <w:rsid w:val="00CF6901"/>
    <w:rsid w:val="00D23F19"/>
    <w:rsid w:val="00D556B6"/>
    <w:rsid w:val="00D955BC"/>
    <w:rsid w:val="00D97010"/>
    <w:rsid w:val="00DD5019"/>
    <w:rsid w:val="00E9427B"/>
    <w:rsid w:val="00EB5FB7"/>
    <w:rsid w:val="00ED4D10"/>
    <w:rsid w:val="00EE3A8C"/>
    <w:rsid w:val="00F53C66"/>
    <w:rsid w:val="00F84482"/>
    <w:rsid w:val="00FD5351"/>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26D9C8"/>
  <w15:chartTrackingRefBased/>
  <w15:docId w15:val="{15827CA6-3C9A-AC48-933E-746D9009AE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C652C"/>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4C652C"/>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4C652C"/>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unhideWhenUsed/>
    <w:qFormat/>
    <w:rsid w:val="00522A4E"/>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B57E78"/>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AC2215"/>
    <w:pPr>
      <w:tabs>
        <w:tab w:val="center" w:pos="4513"/>
        <w:tab w:val="right" w:pos="9026"/>
      </w:tabs>
    </w:pPr>
  </w:style>
  <w:style w:type="character" w:customStyle="1" w:styleId="FooterChar">
    <w:name w:val="Footer Char"/>
    <w:basedOn w:val="DefaultParagraphFont"/>
    <w:link w:val="Footer"/>
    <w:uiPriority w:val="99"/>
    <w:rsid w:val="00AC2215"/>
  </w:style>
  <w:style w:type="character" w:styleId="PageNumber">
    <w:name w:val="page number"/>
    <w:basedOn w:val="DefaultParagraphFont"/>
    <w:uiPriority w:val="99"/>
    <w:semiHidden/>
    <w:unhideWhenUsed/>
    <w:rsid w:val="00AC2215"/>
  </w:style>
  <w:style w:type="paragraph" w:styleId="Header">
    <w:name w:val="header"/>
    <w:basedOn w:val="Normal"/>
    <w:link w:val="HeaderChar"/>
    <w:uiPriority w:val="99"/>
    <w:unhideWhenUsed/>
    <w:rsid w:val="00221CEA"/>
    <w:pPr>
      <w:tabs>
        <w:tab w:val="center" w:pos="4513"/>
        <w:tab w:val="right" w:pos="9026"/>
      </w:tabs>
    </w:pPr>
  </w:style>
  <w:style w:type="character" w:customStyle="1" w:styleId="HeaderChar">
    <w:name w:val="Header Char"/>
    <w:basedOn w:val="DefaultParagraphFont"/>
    <w:link w:val="Header"/>
    <w:uiPriority w:val="99"/>
    <w:rsid w:val="00221CEA"/>
  </w:style>
  <w:style w:type="character" w:customStyle="1" w:styleId="Heading1Char">
    <w:name w:val="Heading 1 Char"/>
    <w:basedOn w:val="DefaultParagraphFont"/>
    <w:link w:val="Heading1"/>
    <w:uiPriority w:val="9"/>
    <w:rsid w:val="004C652C"/>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4C652C"/>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4C652C"/>
    <w:rPr>
      <w:rFonts w:asciiTheme="majorHAnsi" w:eastAsiaTheme="majorEastAsia" w:hAnsiTheme="majorHAnsi" w:cstheme="majorBidi"/>
      <w:color w:val="1F3763" w:themeColor="accent1" w:themeShade="7F"/>
    </w:rPr>
  </w:style>
  <w:style w:type="character" w:customStyle="1" w:styleId="Heading4Char">
    <w:name w:val="Heading 4 Char"/>
    <w:basedOn w:val="DefaultParagraphFont"/>
    <w:link w:val="Heading4"/>
    <w:uiPriority w:val="9"/>
    <w:rsid w:val="00522A4E"/>
    <w:rPr>
      <w:rFonts w:asciiTheme="majorHAnsi" w:eastAsiaTheme="majorEastAsia" w:hAnsiTheme="majorHAnsi" w:cstheme="majorBidi"/>
      <w:i/>
      <w:iCs/>
      <w:color w:val="2F5496" w:themeColor="accent1" w:themeShade="BF"/>
    </w:rPr>
  </w:style>
  <w:style w:type="paragraph" w:styleId="Quote">
    <w:name w:val="Quote"/>
    <w:basedOn w:val="Normal"/>
    <w:next w:val="Normal"/>
    <w:link w:val="QuoteChar"/>
    <w:uiPriority w:val="29"/>
    <w:qFormat/>
    <w:rsid w:val="00F53C66"/>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F53C66"/>
    <w:rPr>
      <w:i/>
      <w:iCs/>
      <w:color w:val="404040" w:themeColor="text1" w:themeTint="BF"/>
    </w:rPr>
  </w:style>
  <w:style w:type="character" w:styleId="SubtleReference">
    <w:name w:val="Subtle Reference"/>
    <w:basedOn w:val="DefaultParagraphFont"/>
    <w:uiPriority w:val="31"/>
    <w:qFormat/>
    <w:rsid w:val="00F53C66"/>
    <w:rPr>
      <w:smallCaps/>
      <w:color w:val="5A5A5A" w:themeColor="text1" w:themeTint="A5"/>
    </w:rPr>
  </w:style>
  <w:style w:type="character" w:customStyle="1" w:styleId="Heading5Char">
    <w:name w:val="Heading 5 Char"/>
    <w:basedOn w:val="DefaultParagraphFont"/>
    <w:link w:val="Heading5"/>
    <w:uiPriority w:val="9"/>
    <w:rsid w:val="00B57E78"/>
    <w:rPr>
      <w:rFonts w:asciiTheme="majorHAnsi" w:eastAsiaTheme="majorEastAsia" w:hAnsiTheme="majorHAnsi" w:cstheme="majorBidi"/>
      <w:color w:val="2F5496" w:themeColor="accent1" w:themeShade="BF"/>
    </w:rPr>
  </w:style>
  <w:style w:type="paragraph" w:styleId="NormalWeb">
    <w:name w:val="Normal (Web)"/>
    <w:basedOn w:val="Normal"/>
    <w:uiPriority w:val="99"/>
    <w:semiHidden/>
    <w:unhideWhenUsed/>
    <w:rsid w:val="0051011F"/>
    <w:pPr>
      <w:spacing w:before="100" w:beforeAutospacing="1" w:after="100" w:afterAutospacing="1"/>
    </w:pPr>
    <w:rPr>
      <w:rFonts w:ascii="Times New Roman" w:eastAsia="Times New Roman" w:hAnsi="Times New Roman" w:cs="Times New Roman"/>
      <w:lang w:eastAsia="zh-CN"/>
    </w:rPr>
  </w:style>
  <w:style w:type="character" w:styleId="Emphasis">
    <w:name w:val="Emphasis"/>
    <w:basedOn w:val="DefaultParagraphFont"/>
    <w:uiPriority w:val="20"/>
    <w:qFormat/>
    <w:rsid w:val="0051011F"/>
    <w:rPr>
      <w:i/>
      <w:iCs/>
    </w:rPr>
  </w:style>
  <w:style w:type="character" w:styleId="Strong">
    <w:name w:val="Strong"/>
    <w:basedOn w:val="DefaultParagraphFont"/>
    <w:uiPriority w:val="22"/>
    <w:qFormat/>
    <w:rsid w:val="0051011F"/>
    <w:rPr>
      <w:b/>
      <w:bCs/>
    </w:rPr>
  </w:style>
  <w:style w:type="character" w:styleId="Hyperlink">
    <w:name w:val="Hyperlink"/>
    <w:basedOn w:val="DefaultParagraphFont"/>
    <w:uiPriority w:val="99"/>
    <w:unhideWhenUsed/>
    <w:rsid w:val="000A630B"/>
    <w:rPr>
      <w:color w:val="0563C1" w:themeColor="hyperlink"/>
      <w:u w:val="single"/>
    </w:rPr>
  </w:style>
  <w:style w:type="character" w:styleId="UnresolvedMention">
    <w:name w:val="Unresolved Mention"/>
    <w:basedOn w:val="DefaultParagraphFont"/>
    <w:uiPriority w:val="99"/>
    <w:semiHidden/>
    <w:unhideWhenUsed/>
    <w:rsid w:val="000A630B"/>
    <w:rPr>
      <w:color w:val="605E5C"/>
      <w:shd w:val="clear" w:color="auto" w:fill="E1DFDD"/>
    </w:rPr>
  </w:style>
  <w:style w:type="paragraph" w:customStyle="1" w:styleId="pdq2pgselectionanchorcontainer">
    <w:name w:val="pdq2pg_selectionanchorcontainer"/>
    <w:basedOn w:val="Normal"/>
    <w:rsid w:val="006B7480"/>
    <w:pPr>
      <w:spacing w:before="100" w:beforeAutospacing="1" w:after="100" w:afterAutospacing="1"/>
    </w:pPr>
    <w:rPr>
      <w:rFonts w:ascii="Times New Roman" w:eastAsia="Times New Roman" w:hAnsi="Times New Roman" w:cs="Times New Roman"/>
      <w:lang w:eastAsia="zh-CN"/>
    </w:rPr>
  </w:style>
  <w:style w:type="character" w:styleId="FollowedHyperlink">
    <w:name w:val="FollowedHyperlink"/>
    <w:basedOn w:val="DefaultParagraphFont"/>
    <w:uiPriority w:val="99"/>
    <w:semiHidden/>
    <w:unhideWhenUsed/>
    <w:rsid w:val="00B773E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cardiffmet.ac.uk/about/artificial-intelligence/ai-staff-hub/"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aws.amazon.com/sustainability/"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hyperlink" Target="https://www.cardiffmet.ac.uk/media/cardiff-met/content-assets/english-documents/Waste-Management-Policy.pdf"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ardiffmet.ac.uk/about/artificial-intelligence/ai-student-hub/"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AB654283EFD134FAE11AE531BA94E6F" ma:contentTypeVersion="0" ma:contentTypeDescription="Create a new document." ma:contentTypeScope="" ma:versionID="cf54fca3d17c7e539a3d03661d7e24b5">
  <xsd:schema xmlns:xsd="http://www.w3.org/2001/XMLSchema" xmlns:xs="http://www.w3.org/2001/XMLSchema" xmlns:p="http://schemas.microsoft.com/office/2006/metadata/properties" targetNamespace="http://schemas.microsoft.com/office/2006/metadata/properties" ma:root="true" ma:fieldsID="500c6692915ba10984c0aabd49f31b2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2B18C1B-8B7A-CD43-90CC-44649CB85295}">
  <ds:schemaRefs>
    <ds:schemaRef ds:uri="http://schemas.openxmlformats.org/officeDocument/2006/bibliography"/>
  </ds:schemaRefs>
</ds:datastoreItem>
</file>

<file path=customXml/itemProps2.xml><?xml version="1.0" encoding="utf-8"?>
<ds:datastoreItem xmlns:ds="http://schemas.openxmlformats.org/officeDocument/2006/customXml" ds:itemID="{79BB00CB-C51B-40A8-B5E4-E1934026EFE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77E8231-5CA0-4FFA-AD82-402D87A6AE13}">
  <ds:schemaRefs>
    <ds:schemaRef ds:uri="http://schemas.microsoft.com/sharepoint/v3/contenttype/forms"/>
  </ds:schemaRefs>
</ds:datastoreItem>
</file>

<file path=customXml/itemProps4.xml><?xml version="1.0" encoding="utf-8"?>
<ds:datastoreItem xmlns:ds="http://schemas.openxmlformats.org/officeDocument/2006/customXml" ds:itemID="{C86E97C4-7AAF-4757-B9FB-3B3F30FF14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1057</Words>
  <Characters>6027</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Sustainable Digital Infrastructure</dc:title>
  <dc:subject/>
  <dc:creator>Garwood, Sarah</dc:creator>
  <cp:keywords/>
  <dc:description/>
  <cp:lastModifiedBy>Mayo, Jonah</cp:lastModifiedBy>
  <cp:revision>7</cp:revision>
  <cp:lastPrinted>2022-09-26T12:47:00Z</cp:lastPrinted>
  <dcterms:created xsi:type="dcterms:W3CDTF">2026-08-07T11:33:00Z</dcterms:created>
  <dcterms:modified xsi:type="dcterms:W3CDTF">2026-08-14T07:57:00Z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0x0101002AB654283EFD134FAE11AE531BA94E6F</vt:lpwstr>
  </property>
  <property fmtid="{D5CDD505-2E9C-101B-9397-08002B2CF9AE}" pid="3" name="MediaServiceImageTags">
    <vt:lpwstr/>
  </property>
  <property fmtid="{D5CDD505-2E9C-101B-9397-08002B2CF9AE}" pid="4" name="Order">
    <vt:r8>1029900</vt:r8>
  </property>
  <property fmtid="{D5CDD505-2E9C-101B-9397-08002B2CF9AE}" pid="5" name="xd_Signature">
    <vt:bool>false</vt:bool>
  </property>
  <property fmtid="{D5CDD505-2E9C-101B-9397-08002B2CF9AE}" pid="6" name="xd_ProgID">
    <vt:lpwstr/>
  </property>
  <property fmtid="{D5CDD505-2E9C-101B-9397-08002B2CF9AE}" pid="7" name="_ExtendedDescription">
    <vt:lpwstr/>
  </property>
  <property fmtid="{D5CDD505-2E9C-101B-9397-08002B2CF9AE}" pid="8" name="TriggerFlowInfo">
    <vt:lpwstr/>
  </property>
  <property fmtid="{D5CDD505-2E9C-101B-9397-08002B2CF9AE}" pid="9" name="_SourceUrl">
    <vt:lpwstr/>
  </property>
  <property fmtid="{D5CDD505-2E9C-101B-9397-08002B2CF9AE}" pid="10" name="_SharedFileIndex">
    <vt:lpwstr/>
  </property>
  <property fmtid="{D5CDD505-2E9C-101B-9397-08002B2CF9AE}" pid="11" name="ComplianceAssetId">
    <vt:lpwstr/>
  </property>
  <property fmtid="{D5CDD505-2E9C-101B-9397-08002B2CF9AE}" pid="12" name="TemplateUrl">
    <vt:lpwstr/>
  </property>
</Properties>
</file>