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5AA6" w14:textId="77777777" w:rsidR="00D861DD" w:rsidRDefault="00D861DD" w:rsidP="00D861DD">
      <w:pPr>
        <w:pStyle w:val="Title"/>
        <w:jc w:val="center"/>
      </w:pPr>
      <w:r w:rsidRPr="00F62854">
        <w:rPr>
          <w:rFonts w:cs="Arial"/>
          <w:noProof/>
          <w:sz w:val="24"/>
          <w:szCs w:val="24"/>
          <w:lang w:val="en"/>
        </w:rPr>
        <w:drawing>
          <wp:inline distT="0" distB="0" distL="0" distR="0" wp14:anchorId="3ED93079" wp14:editId="2D255851">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618852BE" w14:textId="144D1A24" w:rsidR="00D861DD" w:rsidRDefault="00D861DD" w:rsidP="00D861DD">
      <w:pPr>
        <w:pStyle w:val="Title"/>
        <w:jc w:val="center"/>
      </w:pPr>
      <w:r>
        <w:t>Dual Career Athlete and Performance Sport Concession Policy</w:t>
      </w:r>
    </w:p>
    <w:p w14:paraId="45DB24F5" w14:textId="77777777" w:rsidR="00D861DD" w:rsidRDefault="00D861DD" w:rsidP="00D861DD">
      <w:pPr>
        <w:pStyle w:val="Subtitle"/>
        <w:jc w:val="center"/>
      </w:pPr>
      <w:r>
        <w:t>POLICY COVERSHEET</w:t>
      </w:r>
    </w:p>
    <w:p w14:paraId="0325A4FF" w14:textId="77777777" w:rsidR="00D861DD" w:rsidRPr="00087C06" w:rsidRDefault="00D861DD" w:rsidP="00087C06">
      <w:pPr>
        <w:pStyle w:val="BodyText"/>
      </w:pPr>
      <w:bookmarkStart w:id="0" w:name="_Toc75950285"/>
      <w:bookmarkStart w:id="1" w:name="_Toc75950366"/>
      <w:bookmarkStart w:id="2" w:name="_Toc77936657"/>
      <w:bookmarkStart w:id="3" w:name="_Toc165552363"/>
      <w:bookmarkStart w:id="4" w:name="_Toc193894371"/>
      <w:r w:rsidRPr="00087C06">
        <w:t>Key Details</w:t>
      </w:r>
      <w:bookmarkEnd w:id="0"/>
      <w:bookmarkEnd w:id="1"/>
      <w:bookmarkEnd w:id="2"/>
      <w:bookmarkEnd w:id="3"/>
      <w:bookmarkEnd w:id="4"/>
    </w:p>
    <w:p w14:paraId="04E2E5AE" w14:textId="77777777" w:rsidR="00087C06" w:rsidRPr="00087C06" w:rsidRDefault="00087C06" w:rsidP="00087C06">
      <w:pPr>
        <w:pStyle w:val="BodyText"/>
      </w:pPr>
    </w:p>
    <w:tbl>
      <w:tblPr>
        <w:tblStyle w:val="TableGrid"/>
        <w:tblW w:w="0" w:type="auto"/>
        <w:tblLook w:val="04A0" w:firstRow="1" w:lastRow="0" w:firstColumn="1" w:lastColumn="0" w:noHBand="0" w:noVBand="1"/>
      </w:tblPr>
      <w:tblGrid>
        <w:gridCol w:w="4508"/>
        <w:gridCol w:w="4508"/>
      </w:tblGrid>
      <w:tr w:rsidR="00D861DD" w:rsidRPr="00424E11" w14:paraId="5352EB3A" w14:textId="77777777" w:rsidTr="002D3CC9">
        <w:trPr>
          <w:trHeight w:val="340"/>
        </w:trPr>
        <w:tc>
          <w:tcPr>
            <w:tcW w:w="4508" w:type="dxa"/>
            <w:vAlign w:val="center"/>
          </w:tcPr>
          <w:p w14:paraId="563783E2" w14:textId="77777777" w:rsidR="00D861DD" w:rsidRPr="00FE2C3C" w:rsidRDefault="00D861DD" w:rsidP="002D3CC9">
            <w:pPr>
              <w:rPr>
                <w:rStyle w:val="SubtleEmphasis"/>
                <w:b/>
                <w:bCs/>
              </w:rPr>
            </w:pPr>
            <w:r w:rsidRPr="00FE2C3C">
              <w:rPr>
                <w:rStyle w:val="SubtleEmphasis"/>
                <w:b/>
                <w:bCs/>
              </w:rPr>
              <w:t>POLICY TITLE</w:t>
            </w:r>
          </w:p>
        </w:tc>
        <w:tc>
          <w:tcPr>
            <w:tcW w:w="4508" w:type="dxa"/>
            <w:vAlign w:val="center"/>
          </w:tcPr>
          <w:p w14:paraId="2ACB4641" w14:textId="6A0A52B9" w:rsidR="00D861DD" w:rsidRPr="00816BC5" w:rsidRDefault="00D861DD" w:rsidP="002D3CC9">
            <w:pPr>
              <w:rPr>
                <w:rStyle w:val="SubtleEmphasis"/>
                <w:i w:val="0"/>
                <w:iCs w:val="0"/>
              </w:rPr>
            </w:pPr>
            <w:r w:rsidRPr="00816BC5">
              <w:rPr>
                <w:rStyle w:val="SubtleEmphasis"/>
                <w:i w:val="0"/>
                <w:iCs w:val="0"/>
              </w:rPr>
              <w:t xml:space="preserve">Dual Career Athlete and Performance Sport Concession Policy </w:t>
            </w:r>
          </w:p>
        </w:tc>
      </w:tr>
      <w:tr w:rsidR="00D861DD" w:rsidRPr="00424E11" w14:paraId="3F554FE6" w14:textId="77777777" w:rsidTr="002D3CC9">
        <w:trPr>
          <w:trHeight w:val="340"/>
        </w:trPr>
        <w:tc>
          <w:tcPr>
            <w:tcW w:w="4508" w:type="dxa"/>
            <w:vAlign w:val="center"/>
          </w:tcPr>
          <w:p w14:paraId="2F16F214" w14:textId="77777777" w:rsidR="00D861DD" w:rsidRPr="00FE2C3C" w:rsidRDefault="00D861DD" w:rsidP="002D3CC9">
            <w:pPr>
              <w:rPr>
                <w:rStyle w:val="SubtleEmphasis"/>
                <w:b/>
                <w:bCs/>
              </w:rPr>
            </w:pPr>
            <w:r w:rsidRPr="00FE2C3C">
              <w:rPr>
                <w:rStyle w:val="SubtleEmphasis"/>
                <w:b/>
                <w:bCs/>
              </w:rPr>
              <w:t>DATE APPROVED</w:t>
            </w:r>
          </w:p>
        </w:tc>
        <w:tc>
          <w:tcPr>
            <w:tcW w:w="4508" w:type="dxa"/>
            <w:vAlign w:val="center"/>
          </w:tcPr>
          <w:p w14:paraId="1E51B339" w14:textId="65ACAA9F" w:rsidR="00D861DD" w:rsidRPr="00816BC5" w:rsidRDefault="00D861DD" w:rsidP="002D3CC9">
            <w:pPr>
              <w:rPr>
                <w:rStyle w:val="SubtleEmphasis"/>
                <w:i w:val="0"/>
                <w:iCs w:val="0"/>
              </w:rPr>
            </w:pPr>
            <w:r w:rsidRPr="00816BC5">
              <w:rPr>
                <w:rStyle w:val="SubtleEmphasis"/>
                <w:i w:val="0"/>
                <w:iCs w:val="0"/>
              </w:rPr>
              <w:t>March 2025</w:t>
            </w:r>
          </w:p>
        </w:tc>
      </w:tr>
      <w:tr w:rsidR="00D861DD" w:rsidRPr="00424E11" w14:paraId="42421A84" w14:textId="77777777" w:rsidTr="002D3CC9">
        <w:trPr>
          <w:trHeight w:val="340"/>
        </w:trPr>
        <w:tc>
          <w:tcPr>
            <w:tcW w:w="4508" w:type="dxa"/>
            <w:vAlign w:val="center"/>
          </w:tcPr>
          <w:p w14:paraId="46E6FB41" w14:textId="77777777" w:rsidR="00D861DD" w:rsidRPr="00FE2C3C" w:rsidRDefault="00D861DD" w:rsidP="002D3CC9">
            <w:pPr>
              <w:rPr>
                <w:rStyle w:val="SubtleEmphasis"/>
                <w:b/>
                <w:bCs/>
              </w:rPr>
            </w:pPr>
            <w:r w:rsidRPr="00FE2C3C">
              <w:rPr>
                <w:rStyle w:val="SubtleEmphasis"/>
                <w:b/>
                <w:bCs/>
              </w:rPr>
              <w:t>APPROVING BODY</w:t>
            </w:r>
          </w:p>
        </w:tc>
        <w:tc>
          <w:tcPr>
            <w:tcW w:w="4508" w:type="dxa"/>
            <w:vAlign w:val="center"/>
          </w:tcPr>
          <w:p w14:paraId="2641B825" w14:textId="77777777" w:rsidR="00D861DD" w:rsidRPr="00816BC5" w:rsidRDefault="00D861DD" w:rsidP="002D3CC9">
            <w:pPr>
              <w:rPr>
                <w:rStyle w:val="SubtleEmphasis"/>
                <w:i w:val="0"/>
                <w:iCs w:val="0"/>
              </w:rPr>
            </w:pPr>
            <w:r w:rsidRPr="00816BC5">
              <w:rPr>
                <w:rStyle w:val="SubtleEmphasis"/>
                <w:i w:val="0"/>
                <w:iCs w:val="0"/>
              </w:rPr>
              <w:t>LTSEC</w:t>
            </w:r>
          </w:p>
        </w:tc>
      </w:tr>
      <w:tr w:rsidR="00D861DD" w:rsidRPr="00424E11" w14:paraId="495F4FFF" w14:textId="77777777" w:rsidTr="002D3CC9">
        <w:trPr>
          <w:trHeight w:val="340"/>
        </w:trPr>
        <w:tc>
          <w:tcPr>
            <w:tcW w:w="4508" w:type="dxa"/>
            <w:vAlign w:val="center"/>
          </w:tcPr>
          <w:p w14:paraId="7D0000D5" w14:textId="77777777" w:rsidR="00D861DD" w:rsidRPr="00FE2C3C" w:rsidRDefault="00D861DD" w:rsidP="002D3CC9">
            <w:pPr>
              <w:rPr>
                <w:rStyle w:val="SubtleEmphasis"/>
                <w:b/>
                <w:bCs/>
              </w:rPr>
            </w:pPr>
            <w:r w:rsidRPr="00FE2C3C">
              <w:rPr>
                <w:rStyle w:val="SubtleEmphasis"/>
                <w:b/>
                <w:bCs/>
              </w:rPr>
              <w:t>VERSION</w:t>
            </w:r>
          </w:p>
        </w:tc>
        <w:tc>
          <w:tcPr>
            <w:tcW w:w="4508" w:type="dxa"/>
            <w:vAlign w:val="center"/>
          </w:tcPr>
          <w:p w14:paraId="042CE524" w14:textId="0F20E2A3" w:rsidR="00D861DD" w:rsidRPr="00816BC5" w:rsidRDefault="00D861DD" w:rsidP="002D3CC9">
            <w:pPr>
              <w:rPr>
                <w:rStyle w:val="SubtleEmphasis"/>
                <w:i w:val="0"/>
                <w:iCs w:val="0"/>
              </w:rPr>
            </w:pPr>
            <w:r w:rsidRPr="00816BC5">
              <w:rPr>
                <w:rStyle w:val="SubtleEmphasis"/>
                <w:i w:val="0"/>
                <w:iCs w:val="0"/>
              </w:rPr>
              <w:t>Version 3</w:t>
            </w:r>
          </w:p>
        </w:tc>
      </w:tr>
      <w:tr w:rsidR="00D861DD" w:rsidRPr="00424E11" w14:paraId="1A2D8CD0" w14:textId="77777777" w:rsidTr="002D3CC9">
        <w:trPr>
          <w:trHeight w:val="340"/>
        </w:trPr>
        <w:tc>
          <w:tcPr>
            <w:tcW w:w="4508" w:type="dxa"/>
            <w:vAlign w:val="center"/>
          </w:tcPr>
          <w:p w14:paraId="688CD322" w14:textId="77777777" w:rsidR="00D861DD" w:rsidRPr="00FE2C3C" w:rsidRDefault="00D861DD" w:rsidP="002D3CC9">
            <w:pPr>
              <w:rPr>
                <w:rStyle w:val="SubtleEmphasis"/>
                <w:b/>
                <w:bCs/>
              </w:rPr>
            </w:pPr>
            <w:r w:rsidRPr="00FE2C3C">
              <w:rPr>
                <w:rStyle w:val="SubtleEmphasis"/>
                <w:b/>
                <w:bCs/>
              </w:rPr>
              <w:t>PREVIOUS REVIEW DATES</w:t>
            </w:r>
          </w:p>
        </w:tc>
        <w:tc>
          <w:tcPr>
            <w:tcW w:w="4508" w:type="dxa"/>
            <w:vAlign w:val="center"/>
          </w:tcPr>
          <w:p w14:paraId="70BF1BF2" w14:textId="77777777" w:rsidR="00B079D0" w:rsidRPr="00816BC5" w:rsidRDefault="00B079D0" w:rsidP="00B079D0">
            <w:pPr>
              <w:rPr>
                <w:lang w:val="en-US"/>
              </w:rPr>
            </w:pPr>
            <w:r w:rsidRPr="00816BC5">
              <w:rPr>
                <w:lang w:val="en-US"/>
              </w:rPr>
              <w:t>V2 03.2022</w:t>
            </w:r>
          </w:p>
          <w:p w14:paraId="7D8CB5F6" w14:textId="6EA014C3" w:rsidR="00D861DD" w:rsidRPr="00816BC5" w:rsidRDefault="00B079D0" w:rsidP="00B079D0">
            <w:pPr>
              <w:rPr>
                <w:rStyle w:val="SubtleEmphasis"/>
              </w:rPr>
            </w:pPr>
            <w:r w:rsidRPr="00816BC5">
              <w:rPr>
                <w:lang w:val="en-US"/>
              </w:rPr>
              <w:t>V1 01.2020</w:t>
            </w:r>
          </w:p>
        </w:tc>
      </w:tr>
      <w:tr w:rsidR="00D861DD" w:rsidRPr="00424E11" w14:paraId="562FF82D" w14:textId="77777777" w:rsidTr="002D3CC9">
        <w:trPr>
          <w:trHeight w:val="340"/>
        </w:trPr>
        <w:tc>
          <w:tcPr>
            <w:tcW w:w="4508" w:type="dxa"/>
            <w:vAlign w:val="center"/>
          </w:tcPr>
          <w:p w14:paraId="607FD782" w14:textId="77777777" w:rsidR="00D861DD" w:rsidRPr="00FE2C3C" w:rsidRDefault="00D861DD" w:rsidP="002D3CC9">
            <w:pPr>
              <w:rPr>
                <w:rStyle w:val="SubtleEmphasis"/>
                <w:b/>
                <w:bCs/>
              </w:rPr>
            </w:pPr>
            <w:r w:rsidRPr="00FE2C3C">
              <w:rPr>
                <w:rStyle w:val="SubtleEmphasis"/>
                <w:b/>
                <w:bCs/>
              </w:rPr>
              <w:t>NEXT REVIEW DATE</w:t>
            </w:r>
          </w:p>
        </w:tc>
        <w:tc>
          <w:tcPr>
            <w:tcW w:w="4508" w:type="dxa"/>
            <w:vAlign w:val="center"/>
          </w:tcPr>
          <w:p w14:paraId="237B8F2A" w14:textId="3AC0F764" w:rsidR="00D861DD" w:rsidRPr="00816BC5" w:rsidRDefault="00B079D0" w:rsidP="002D3CC9">
            <w:pPr>
              <w:rPr>
                <w:rStyle w:val="SubtleEmphasis"/>
                <w:i w:val="0"/>
                <w:iCs w:val="0"/>
              </w:rPr>
            </w:pPr>
            <w:r w:rsidRPr="00816BC5">
              <w:rPr>
                <w:rStyle w:val="SubtleEmphasis"/>
                <w:i w:val="0"/>
                <w:iCs w:val="0"/>
              </w:rPr>
              <w:t>March 2028</w:t>
            </w:r>
          </w:p>
        </w:tc>
      </w:tr>
      <w:tr w:rsidR="00D861DD" w:rsidRPr="00424E11" w14:paraId="49B718E9" w14:textId="77777777" w:rsidTr="002D3CC9">
        <w:trPr>
          <w:trHeight w:val="340"/>
        </w:trPr>
        <w:tc>
          <w:tcPr>
            <w:tcW w:w="4508" w:type="dxa"/>
            <w:vAlign w:val="center"/>
          </w:tcPr>
          <w:p w14:paraId="0950BFDA" w14:textId="77777777" w:rsidR="00D861DD" w:rsidRPr="00FE2C3C" w:rsidRDefault="00D861DD" w:rsidP="002D3CC9">
            <w:pPr>
              <w:rPr>
                <w:rStyle w:val="SubtleEmphasis"/>
                <w:b/>
                <w:bCs/>
              </w:rPr>
            </w:pPr>
            <w:r w:rsidRPr="5E802755">
              <w:rPr>
                <w:rStyle w:val="SubtleEmphasis"/>
                <w:b/>
                <w:bCs/>
              </w:rPr>
              <w:t>OUTCOME OF EQUALITY IMPACT ASSESSMENT</w:t>
            </w:r>
          </w:p>
        </w:tc>
        <w:tc>
          <w:tcPr>
            <w:tcW w:w="4508" w:type="dxa"/>
            <w:vAlign w:val="center"/>
          </w:tcPr>
          <w:p w14:paraId="092E2110" w14:textId="77777777" w:rsidR="00D861DD" w:rsidRPr="00816BC5" w:rsidRDefault="00D861DD" w:rsidP="002D3CC9">
            <w:pPr>
              <w:pStyle w:val="CommentText"/>
              <w:rPr>
                <w:rStyle w:val="SubtleEmphasis"/>
                <w:i w:val="0"/>
                <w:iCs w:val="0"/>
              </w:rPr>
            </w:pPr>
          </w:p>
        </w:tc>
      </w:tr>
      <w:tr w:rsidR="00D861DD" w:rsidRPr="00424E11" w14:paraId="62921496" w14:textId="77777777" w:rsidTr="002D3CC9">
        <w:trPr>
          <w:trHeight w:val="340"/>
        </w:trPr>
        <w:tc>
          <w:tcPr>
            <w:tcW w:w="4508" w:type="dxa"/>
            <w:vAlign w:val="center"/>
          </w:tcPr>
          <w:p w14:paraId="10438208" w14:textId="77777777" w:rsidR="00D861DD" w:rsidRPr="00FE2C3C" w:rsidRDefault="00D861DD" w:rsidP="002D3CC9">
            <w:pPr>
              <w:rPr>
                <w:rStyle w:val="SubtleEmphasis"/>
                <w:b/>
                <w:bCs/>
              </w:rPr>
            </w:pPr>
            <w:r w:rsidRPr="00FE2C3C">
              <w:rPr>
                <w:rStyle w:val="SubtleEmphasis"/>
                <w:b/>
                <w:bCs/>
              </w:rPr>
              <w:t>RELATED POLICIES / PROCEDURES / GUIDANCE</w:t>
            </w:r>
          </w:p>
        </w:tc>
        <w:tc>
          <w:tcPr>
            <w:tcW w:w="4508" w:type="dxa"/>
            <w:vAlign w:val="center"/>
          </w:tcPr>
          <w:p w14:paraId="6F7B26F2" w14:textId="77777777" w:rsidR="00D861DD" w:rsidRPr="00816BC5" w:rsidRDefault="00D861DD" w:rsidP="00087C06">
            <w:pPr>
              <w:pStyle w:val="BodyText"/>
              <w:rPr>
                <w:rStyle w:val="SubtleEmphasis"/>
                <w:i w:val="0"/>
                <w:iCs w:val="0"/>
              </w:rPr>
            </w:pPr>
          </w:p>
        </w:tc>
      </w:tr>
      <w:tr w:rsidR="00D861DD" w:rsidRPr="00424E11" w14:paraId="24BF5CE1" w14:textId="77777777" w:rsidTr="002D3CC9">
        <w:trPr>
          <w:trHeight w:val="340"/>
        </w:trPr>
        <w:tc>
          <w:tcPr>
            <w:tcW w:w="4508" w:type="dxa"/>
            <w:vAlign w:val="center"/>
          </w:tcPr>
          <w:p w14:paraId="192CB64E" w14:textId="77777777" w:rsidR="00D861DD" w:rsidRPr="00FE2C3C" w:rsidRDefault="00D861DD" w:rsidP="002D3CC9">
            <w:pPr>
              <w:rPr>
                <w:rStyle w:val="SubtleEmphasis"/>
                <w:b/>
                <w:bCs/>
              </w:rPr>
            </w:pPr>
            <w:r w:rsidRPr="00FE2C3C">
              <w:rPr>
                <w:rStyle w:val="SubtleEmphasis"/>
                <w:b/>
                <w:bCs/>
              </w:rPr>
              <w:t>IMPLEMENTATION DATE</w:t>
            </w:r>
          </w:p>
        </w:tc>
        <w:tc>
          <w:tcPr>
            <w:tcW w:w="4508" w:type="dxa"/>
            <w:vAlign w:val="center"/>
          </w:tcPr>
          <w:p w14:paraId="635A92D2" w14:textId="2DF526C5" w:rsidR="00D861DD" w:rsidRPr="00816BC5" w:rsidRDefault="00816BC5" w:rsidP="002D3CC9">
            <w:pPr>
              <w:rPr>
                <w:rStyle w:val="SubtleEmphasis"/>
                <w:i w:val="0"/>
                <w:iCs w:val="0"/>
              </w:rPr>
            </w:pPr>
            <w:r w:rsidRPr="00816BC5">
              <w:rPr>
                <w:rStyle w:val="SubtleEmphasis"/>
                <w:i w:val="0"/>
                <w:iCs w:val="0"/>
              </w:rPr>
              <w:t>March 2025</w:t>
            </w:r>
          </w:p>
        </w:tc>
      </w:tr>
      <w:tr w:rsidR="00D861DD" w:rsidRPr="00424E11" w14:paraId="2A11F246" w14:textId="77777777" w:rsidTr="002D3CC9">
        <w:trPr>
          <w:trHeight w:val="340"/>
        </w:trPr>
        <w:tc>
          <w:tcPr>
            <w:tcW w:w="4508" w:type="dxa"/>
            <w:vAlign w:val="center"/>
          </w:tcPr>
          <w:p w14:paraId="5C5AEE5E" w14:textId="77777777" w:rsidR="00D861DD" w:rsidRPr="00FE2C3C" w:rsidRDefault="00D861DD" w:rsidP="002D3CC9">
            <w:pPr>
              <w:rPr>
                <w:rStyle w:val="SubtleEmphasis"/>
                <w:b/>
                <w:bCs/>
              </w:rPr>
            </w:pPr>
            <w:r w:rsidRPr="00FE2C3C">
              <w:rPr>
                <w:rStyle w:val="SubtleEmphasis"/>
                <w:b/>
                <w:bCs/>
              </w:rPr>
              <w:t>POLICY OWNER (JOB TITLE)</w:t>
            </w:r>
          </w:p>
        </w:tc>
        <w:tc>
          <w:tcPr>
            <w:tcW w:w="4508" w:type="dxa"/>
            <w:vAlign w:val="center"/>
          </w:tcPr>
          <w:p w14:paraId="277762B1" w14:textId="2E180EC5" w:rsidR="00D861DD" w:rsidRPr="00816BC5" w:rsidRDefault="00816BC5" w:rsidP="002D3CC9">
            <w:pPr>
              <w:rPr>
                <w:rStyle w:val="SubtleEmphasis"/>
                <w:i w:val="0"/>
                <w:iCs w:val="0"/>
              </w:rPr>
            </w:pPr>
            <w:r w:rsidRPr="00816BC5">
              <w:rPr>
                <w:rStyle w:val="SubtleEmphasis"/>
                <w:i w:val="0"/>
                <w:iCs w:val="0"/>
              </w:rPr>
              <w:t>Head of Sport System</w:t>
            </w:r>
          </w:p>
        </w:tc>
      </w:tr>
      <w:tr w:rsidR="00D861DD" w:rsidRPr="00424E11" w14:paraId="35525904" w14:textId="77777777" w:rsidTr="002D3CC9">
        <w:trPr>
          <w:trHeight w:val="340"/>
        </w:trPr>
        <w:tc>
          <w:tcPr>
            <w:tcW w:w="4508" w:type="dxa"/>
            <w:vAlign w:val="center"/>
          </w:tcPr>
          <w:p w14:paraId="0D883655" w14:textId="77777777" w:rsidR="00D861DD" w:rsidRPr="00FE2C3C" w:rsidRDefault="00D861DD" w:rsidP="002D3CC9">
            <w:pPr>
              <w:rPr>
                <w:rStyle w:val="SubtleEmphasis"/>
                <w:b/>
                <w:bCs/>
              </w:rPr>
            </w:pPr>
            <w:r w:rsidRPr="00FE2C3C">
              <w:rPr>
                <w:rStyle w:val="SubtleEmphasis"/>
                <w:b/>
                <w:bCs/>
              </w:rPr>
              <w:t>UNIT / SERVICE</w:t>
            </w:r>
          </w:p>
        </w:tc>
        <w:tc>
          <w:tcPr>
            <w:tcW w:w="4508" w:type="dxa"/>
            <w:vAlign w:val="center"/>
          </w:tcPr>
          <w:p w14:paraId="3D99189F" w14:textId="7906BB06" w:rsidR="00D861DD" w:rsidRPr="00816BC5" w:rsidRDefault="00816BC5" w:rsidP="002D3CC9">
            <w:pPr>
              <w:rPr>
                <w:rStyle w:val="SubtleEmphasis"/>
                <w:i w:val="0"/>
                <w:iCs w:val="0"/>
              </w:rPr>
            </w:pPr>
            <w:r w:rsidRPr="00816BC5">
              <w:rPr>
                <w:rStyle w:val="SubtleEmphasis"/>
                <w:i w:val="0"/>
                <w:iCs w:val="0"/>
              </w:rPr>
              <w:t>Cardiff School of Sport and Health Sciences</w:t>
            </w:r>
          </w:p>
        </w:tc>
      </w:tr>
      <w:tr w:rsidR="00D861DD" w:rsidRPr="00424E11" w14:paraId="0C02E58C" w14:textId="77777777" w:rsidTr="002D3CC9">
        <w:trPr>
          <w:trHeight w:val="340"/>
        </w:trPr>
        <w:tc>
          <w:tcPr>
            <w:tcW w:w="4508" w:type="dxa"/>
            <w:vAlign w:val="center"/>
          </w:tcPr>
          <w:p w14:paraId="332DAC58" w14:textId="77777777" w:rsidR="00D861DD" w:rsidRPr="00FE2C3C" w:rsidRDefault="00D861DD" w:rsidP="002D3CC9">
            <w:pPr>
              <w:rPr>
                <w:rStyle w:val="SubtleEmphasis"/>
                <w:b/>
                <w:bCs/>
              </w:rPr>
            </w:pPr>
            <w:r w:rsidRPr="00FE2C3C">
              <w:rPr>
                <w:rStyle w:val="SubtleEmphasis"/>
                <w:b/>
                <w:bCs/>
              </w:rPr>
              <w:t>CONTACT EMAIL</w:t>
            </w:r>
          </w:p>
        </w:tc>
        <w:tc>
          <w:tcPr>
            <w:tcW w:w="4508" w:type="dxa"/>
            <w:vAlign w:val="center"/>
          </w:tcPr>
          <w:p w14:paraId="7A398727" w14:textId="50AD4062" w:rsidR="00D861DD" w:rsidRPr="00816BC5" w:rsidRDefault="00816BC5" w:rsidP="002D3CC9">
            <w:pPr>
              <w:rPr>
                <w:rStyle w:val="SubtleEmphasis"/>
                <w:i w:val="0"/>
                <w:iCs w:val="0"/>
              </w:rPr>
            </w:pPr>
            <w:r w:rsidRPr="00816BC5">
              <w:rPr>
                <w:rStyle w:val="SubtleEmphasis"/>
                <w:i w:val="0"/>
                <w:iCs w:val="0"/>
              </w:rPr>
              <w:t>otoogood@cardiffmet.ac.uk</w:t>
            </w:r>
          </w:p>
        </w:tc>
      </w:tr>
    </w:tbl>
    <w:p w14:paraId="6F9F84D9" w14:textId="77777777" w:rsidR="00816BC5" w:rsidRDefault="00D861DD" w:rsidP="00816BC5">
      <w:pPr>
        <w:rPr>
          <w:rStyle w:val="SubtleEmphasis"/>
        </w:rPr>
      </w:pPr>
      <w:r>
        <w:rPr>
          <w:rStyle w:val="SubtleEmphasis"/>
        </w:rPr>
        <w:t xml:space="preserve"> </w:t>
      </w:r>
      <w:bookmarkStart w:id="5" w:name="_Toc165552364"/>
    </w:p>
    <w:p w14:paraId="62D1344B" w14:textId="28E18B08" w:rsidR="00D861DD" w:rsidRDefault="00D861DD" w:rsidP="00087C06">
      <w:pPr>
        <w:pStyle w:val="BodyText"/>
      </w:pPr>
      <w:r w:rsidRPr="005139F2">
        <w:t>Version Control</w:t>
      </w:r>
      <w:bookmarkEnd w:id="5"/>
    </w:p>
    <w:p w14:paraId="79189E49" w14:textId="77777777" w:rsidR="00087C06" w:rsidRPr="005139F2" w:rsidRDefault="00087C06" w:rsidP="00087C06">
      <w:pPr>
        <w:pStyle w:val="BodyText"/>
      </w:pPr>
    </w:p>
    <w:tbl>
      <w:tblPr>
        <w:tblStyle w:val="TableGrid"/>
        <w:tblW w:w="0" w:type="auto"/>
        <w:tblLook w:val="04A0" w:firstRow="1" w:lastRow="0" w:firstColumn="1" w:lastColumn="0" w:noHBand="0" w:noVBand="1"/>
      </w:tblPr>
      <w:tblGrid>
        <w:gridCol w:w="1980"/>
        <w:gridCol w:w="1843"/>
        <w:gridCol w:w="5187"/>
      </w:tblGrid>
      <w:tr w:rsidR="00CE352E" w:rsidRPr="00C74E66" w14:paraId="4048BBF4" w14:textId="77777777" w:rsidTr="002D3CC9">
        <w:tc>
          <w:tcPr>
            <w:tcW w:w="1980" w:type="dxa"/>
            <w:tcBorders>
              <w:top w:val="single" w:sz="4" w:space="0" w:color="auto"/>
              <w:left w:val="single" w:sz="4" w:space="0" w:color="auto"/>
              <w:bottom w:val="single" w:sz="4" w:space="0" w:color="auto"/>
              <w:right w:val="single" w:sz="4" w:space="0" w:color="auto"/>
            </w:tcBorders>
            <w:hideMark/>
          </w:tcPr>
          <w:p w14:paraId="1FF3EB2A" w14:textId="77777777" w:rsidR="00CE352E" w:rsidRPr="00C74E66" w:rsidRDefault="00CE352E" w:rsidP="002D3CC9">
            <w:pPr>
              <w:rPr>
                <w:rStyle w:val="SubtleEmphasis"/>
                <w:rFonts w:cs="Arial"/>
                <w:b/>
                <w:bCs/>
                <w:i w:val="0"/>
                <w:iCs w:val="0"/>
              </w:rPr>
            </w:pPr>
            <w:r w:rsidRPr="00C74E66">
              <w:rPr>
                <w:rStyle w:val="SubtleEmphasis"/>
                <w:rFonts w:cs="Arial"/>
                <w:b/>
                <w:bCs/>
              </w:rPr>
              <w:t>VERSION</w:t>
            </w:r>
          </w:p>
        </w:tc>
        <w:tc>
          <w:tcPr>
            <w:tcW w:w="1843" w:type="dxa"/>
            <w:tcBorders>
              <w:top w:val="single" w:sz="4" w:space="0" w:color="auto"/>
              <w:left w:val="single" w:sz="4" w:space="0" w:color="auto"/>
              <w:bottom w:val="single" w:sz="4" w:space="0" w:color="auto"/>
              <w:right w:val="single" w:sz="4" w:space="0" w:color="auto"/>
            </w:tcBorders>
            <w:hideMark/>
          </w:tcPr>
          <w:p w14:paraId="6B915EC8" w14:textId="77777777" w:rsidR="00CE352E" w:rsidRPr="00C74E66" w:rsidRDefault="00CE352E" w:rsidP="002D3CC9">
            <w:pPr>
              <w:rPr>
                <w:rStyle w:val="SubtleEmphasis"/>
                <w:rFonts w:cs="Arial"/>
                <w:b/>
                <w:bCs/>
                <w:i w:val="0"/>
                <w:iCs w:val="0"/>
              </w:rPr>
            </w:pPr>
            <w:r w:rsidRPr="00C74E66">
              <w:rPr>
                <w:rStyle w:val="SubtleEmphasis"/>
                <w:rFonts w:cs="Arial"/>
                <w:b/>
                <w:bCs/>
              </w:rPr>
              <w:t>DATE</w:t>
            </w:r>
          </w:p>
        </w:tc>
        <w:tc>
          <w:tcPr>
            <w:tcW w:w="5187" w:type="dxa"/>
            <w:tcBorders>
              <w:top w:val="single" w:sz="4" w:space="0" w:color="auto"/>
              <w:left w:val="single" w:sz="4" w:space="0" w:color="auto"/>
              <w:bottom w:val="single" w:sz="4" w:space="0" w:color="auto"/>
              <w:right w:val="single" w:sz="4" w:space="0" w:color="auto"/>
            </w:tcBorders>
            <w:hideMark/>
          </w:tcPr>
          <w:p w14:paraId="42EE0529" w14:textId="77777777" w:rsidR="00CE352E" w:rsidRPr="00C74E66" w:rsidRDefault="00CE352E" w:rsidP="002D3CC9">
            <w:pPr>
              <w:rPr>
                <w:rStyle w:val="SubtleEmphasis"/>
                <w:rFonts w:cs="Arial"/>
                <w:b/>
                <w:bCs/>
                <w:i w:val="0"/>
                <w:iCs w:val="0"/>
              </w:rPr>
            </w:pPr>
            <w:r w:rsidRPr="00C74E66">
              <w:rPr>
                <w:rStyle w:val="SubtleEmphasis"/>
                <w:rFonts w:cs="Arial"/>
                <w:b/>
                <w:bCs/>
              </w:rPr>
              <w:t>REASON FOR CHANGE</w:t>
            </w:r>
          </w:p>
        </w:tc>
      </w:tr>
      <w:tr w:rsidR="00CE352E" w:rsidRPr="00C74E66" w14:paraId="06FC71C6" w14:textId="77777777" w:rsidTr="002D3CC9">
        <w:tc>
          <w:tcPr>
            <w:tcW w:w="1980" w:type="dxa"/>
            <w:tcBorders>
              <w:top w:val="single" w:sz="4" w:space="0" w:color="auto"/>
              <w:left w:val="single" w:sz="4" w:space="0" w:color="auto"/>
              <w:bottom w:val="single" w:sz="4" w:space="0" w:color="auto"/>
              <w:right w:val="single" w:sz="4" w:space="0" w:color="auto"/>
            </w:tcBorders>
            <w:hideMark/>
          </w:tcPr>
          <w:p w14:paraId="415F531C" w14:textId="77777777" w:rsidR="00CE352E" w:rsidRPr="00C74E66" w:rsidRDefault="00CE352E" w:rsidP="002D3CC9">
            <w:pPr>
              <w:rPr>
                <w:rStyle w:val="SubtleEmphasis"/>
                <w:rFonts w:cs="Arial"/>
                <w:i w:val="0"/>
                <w:iCs w:val="0"/>
              </w:rPr>
            </w:pPr>
            <w:r w:rsidRPr="00C74E66">
              <w:rPr>
                <w:rStyle w:val="SubtleEmphasis"/>
                <w:rFonts w:cs="Arial"/>
              </w:rPr>
              <w:t>1.0</w:t>
            </w:r>
          </w:p>
        </w:tc>
        <w:tc>
          <w:tcPr>
            <w:tcW w:w="1843" w:type="dxa"/>
            <w:tcBorders>
              <w:top w:val="single" w:sz="4" w:space="0" w:color="auto"/>
              <w:left w:val="single" w:sz="4" w:space="0" w:color="auto"/>
              <w:bottom w:val="single" w:sz="4" w:space="0" w:color="auto"/>
              <w:right w:val="single" w:sz="4" w:space="0" w:color="auto"/>
            </w:tcBorders>
            <w:hideMark/>
          </w:tcPr>
          <w:p w14:paraId="0104405A" w14:textId="77777777" w:rsidR="00CE352E" w:rsidRPr="00C74E66" w:rsidRDefault="00CE352E" w:rsidP="002D3CC9">
            <w:pPr>
              <w:rPr>
                <w:rStyle w:val="SubtleEmphasis"/>
                <w:rFonts w:cs="Arial"/>
                <w:i w:val="0"/>
                <w:iCs w:val="0"/>
              </w:rPr>
            </w:pPr>
            <w:r w:rsidRPr="00C74E66">
              <w:rPr>
                <w:rStyle w:val="SubtleEmphasis"/>
                <w:rFonts w:cs="Arial"/>
              </w:rPr>
              <w:t>Jan 202</w:t>
            </w:r>
            <w:r>
              <w:rPr>
                <w:rStyle w:val="SubtleEmphasis"/>
                <w:rFonts w:cs="Arial"/>
              </w:rPr>
              <w:t>0</w:t>
            </w:r>
          </w:p>
        </w:tc>
        <w:tc>
          <w:tcPr>
            <w:tcW w:w="5187" w:type="dxa"/>
            <w:tcBorders>
              <w:top w:val="single" w:sz="4" w:space="0" w:color="auto"/>
              <w:left w:val="single" w:sz="4" w:space="0" w:color="auto"/>
              <w:bottom w:val="single" w:sz="4" w:space="0" w:color="auto"/>
              <w:right w:val="single" w:sz="4" w:space="0" w:color="auto"/>
            </w:tcBorders>
            <w:hideMark/>
          </w:tcPr>
          <w:p w14:paraId="1B2574BF" w14:textId="77777777" w:rsidR="00CE352E" w:rsidRPr="00C74E66" w:rsidRDefault="00CE352E" w:rsidP="002D3CC9">
            <w:pPr>
              <w:rPr>
                <w:rStyle w:val="SubtleEmphasis"/>
                <w:rFonts w:cs="Arial"/>
                <w:i w:val="0"/>
                <w:iCs w:val="0"/>
              </w:rPr>
            </w:pPr>
            <w:r w:rsidRPr="00C74E66">
              <w:rPr>
                <w:rStyle w:val="SubtleEmphasis"/>
                <w:rFonts w:cs="Arial"/>
              </w:rPr>
              <w:t xml:space="preserve">First version </w:t>
            </w:r>
          </w:p>
        </w:tc>
      </w:tr>
      <w:tr w:rsidR="00CE352E" w:rsidRPr="00C74E66" w14:paraId="61ED2631" w14:textId="77777777" w:rsidTr="002D3CC9">
        <w:tc>
          <w:tcPr>
            <w:tcW w:w="1980" w:type="dxa"/>
            <w:tcBorders>
              <w:top w:val="single" w:sz="4" w:space="0" w:color="auto"/>
              <w:left w:val="single" w:sz="4" w:space="0" w:color="auto"/>
              <w:bottom w:val="single" w:sz="4" w:space="0" w:color="auto"/>
              <w:right w:val="single" w:sz="4" w:space="0" w:color="auto"/>
            </w:tcBorders>
          </w:tcPr>
          <w:p w14:paraId="1DA56241" w14:textId="77777777" w:rsidR="00CE352E" w:rsidRPr="00C74E66" w:rsidRDefault="00CE352E" w:rsidP="002D3CC9">
            <w:pPr>
              <w:rPr>
                <w:rStyle w:val="SubtleEmphasis"/>
                <w:rFonts w:cs="Arial"/>
                <w:i w:val="0"/>
                <w:iCs w:val="0"/>
              </w:rPr>
            </w:pPr>
            <w:r w:rsidRPr="00C74E66">
              <w:rPr>
                <w:rStyle w:val="SubtleEmphasis"/>
                <w:rFonts w:cs="Arial"/>
              </w:rPr>
              <w:t>2.0</w:t>
            </w:r>
          </w:p>
        </w:tc>
        <w:tc>
          <w:tcPr>
            <w:tcW w:w="1843" w:type="dxa"/>
            <w:tcBorders>
              <w:top w:val="single" w:sz="4" w:space="0" w:color="auto"/>
              <w:left w:val="single" w:sz="4" w:space="0" w:color="auto"/>
              <w:bottom w:val="single" w:sz="4" w:space="0" w:color="auto"/>
              <w:right w:val="single" w:sz="4" w:space="0" w:color="auto"/>
            </w:tcBorders>
          </w:tcPr>
          <w:p w14:paraId="6CB724F9" w14:textId="77777777" w:rsidR="00CE352E" w:rsidRPr="00C74E66" w:rsidRDefault="00CE352E" w:rsidP="002D3CC9">
            <w:pPr>
              <w:rPr>
                <w:rStyle w:val="SubtleEmphasis"/>
                <w:rFonts w:cs="Arial"/>
                <w:i w:val="0"/>
                <w:iCs w:val="0"/>
              </w:rPr>
            </w:pPr>
            <w:r w:rsidRPr="00C74E66">
              <w:rPr>
                <w:rStyle w:val="SubtleEmphasis"/>
                <w:rFonts w:cs="Arial"/>
              </w:rPr>
              <w:t>March 2022</w:t>
            </w:r>
          </w:p>
        </w:tc>
        <w:tc>
          <w:tcPr>
            <w:tcW w:w="5187" w:type="dxa"/>
            <w:tcBorders>
              <w:top w:val="single" w:sz="4" w:space="0" w:color="auto"/>
              <w:left w:val="single" w:sz="4" w:space="0" w:color="auto"/>
              <w:bottom w:val="single" w:sz="4" w:space="0" w:color="auto"/>
              <w:right w:val="single" w:sz="4" w:space="0" w:color="auto"/>
            </w:tcBorders>
          </w:tcPr>
          <w:p w14:paraId="49126658" w14:textId="77777777" w:rsidR="00CE352E" w:rsidRPr="00C74E66" w:rsidRDefault="00CE352E" w:rsidP="002D3CC9">
            <w:pPr>
              <w:rPr>
                <w:rStyle w:val="SubtleEmphasis"/>
                <w:rFonts w:cs="Arial"/>
                <w:i w:val="0"/>
                <w:iCs w:val="0"/>
              </w:rPr>
            </w:pPr>
            <w:r w:rsidRPr="00C74E66">
              <w:rPr>
                <w:rFonts w:cs="Arial"/>
                <w:color w:val="404040" w:themeColor="text1" w:themeTint="BF"/>
              </w:rPr>
              <w:t>Clarification of</w:t>
            </w:r>
            <w:r w:rsidRPr="00C74E66">
              <w:rPr>
                <w:rFonts w:cs="Arial"/>
                <w:color w:val="404040" w:themeColor="text1" w:themeTint="BF"/>
                <w:lang w:val="en-US"/>
              </w:rPr>
              <w:t xml:space="preserve"> the process to identify eligible students and distinguish between the two tiers of support provided for students involved in performance sport</w:t>
            </w:r>
          </w:p>
        </w:tc>
      </w:tr>
      <w:tr w:rsidR="00CE352E" w:rsidRPr="003C10E8" w14:paraId="0436F776" w14:textId="77777777" w:rsidTr="002D3CC9">
        <w:tc>
          <w:tcPr>
            <w:tcW w:w="1980" w:type="dxa"/>
            <w:tcBorders>
              <w:top w:val="single" w:sz="4" w:space="0" w:color="auto"/>
              <w:left w:val="single" w:sz="4" w:space="0" w:color="auto"/>
              <w:bottom w:val="single" w:sz="4" w:space="0" w:color="auto"/>
              <w:right w:val="single" w:sz="4" w:space="0" w:color="auto"/>
            </w:tcBorders>
          </w:tcPr>
          <w:p w14:paraId="61DF190A" w14:textId="77777777" w:rsidR="00CE352E" w:rsidRPr="00C74E66" w:rsidRDefault="00CE352E" w:rsidP="002D3CC9">
            <w:pPr>
              <w:rPr>
                <w:rStyle w:val="SubtleEmphasis"/>
                <w:rFonts w:cs="Arial"/>
              </w:rPr>
            </w:pPr>
            <w:r>
              <w:rPr>
                <w:rStyle w:val="SubtleEmphasis"/>
                <w:rFonts w:cs="Arial"/>
              </w:rPr>
              <w:t>3</w:t>
            </w:r>
            <w:r>
              <w:rPr>
                <w:rStyle w:val="SubtleEmphasis"/>
              </w:rPr>
              <w:t>.0</w:t>
            </w:r>
          </w:p>
        </w:tc>
        <w:tc>
          <w:tcPr>
            <w:tcW w:w="1843" w:type="dxa"/>
            <w:tcBorders>
              <w:top w:val="single" w:sz="4" w:space="0" w:color="auto"/>
              <w:left w:val="single" w:sz="4" w:space="0" w:color="auto"/>
              <w:bottom w:val="single" w:sz="4" w:space="0" w:color="auto"/>
              <w:right w:val="single" w:sz="4" w:space="0" w:color="auto"/>
            </w:tcBorders>
          </w:tcPr>
          <w:p w14:paraId="46D07C69" w14:textId="77777777" w:rsidR="00CE352E" w:rsidRPr="00C74E66" w:rsidRDefault="00CE352E" w:rsidP="002D3CC9">
            <w:pPr>
              <w:rPr>
                <w:rStyle w:val="SubtleEmphasis"/>
                <w:rFonts w:cs="Arial"/>
              </w:rPr>
            </w:pPr>
            <w:r>
              <w:rPr>
                <w:rStyle w:val="SubtleEmphasis"/>
                <w:rFonts w:cs="Arial"/>
              </w:rPr>
              <w:t>March 2025</w:t>
            </w:r>
          </w:p>
        </w:tc>
        <w:tc>
          <w:tcPr>
            <w:tcW w:w="5187" w:type="dxa"/>
            <w:tcBorders>
              <w:top w:val="single" w:sz="4" w:space="0" w:color="auto"/>
              <w:left w:val="single" w:sz="4" w:space="0" w:color="auto"/>
              <w:bottom w:val="single" w:sz="4" w:space="0" w:color="auto"/>
              <w:right w:val="single" w:sz="4" w:space="0" w:color="auto"/>
            </w:tcBorders>
          </w:tcPr>
          <w:p w14:paraId="47419193" w14:textId="77777777" w:rsidR="00CE352E" w:rsidRPr="001100B7"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 xml:space="preserve">Removal of references to application forms and operational detail as not appropriate for </w:t>
            </w:r>
            <w:r>
              <w:rPr>
                <w:rFonts w:cs="Arial"/>
                <w:color w:val="404040" w:themeColor="text1" w:themeTint="BF"/>
              </w:rPr>
              <w:t xml:space="preserve">a </w:t>
            </w:r>
            <w:r w:rsidRPr="001100B7">
              <w:rPr>
                <w:rFonts w:cs="Arial"/>
                <w:color w:val="404040" w:themeColor="text1" w:themeTint="BF"/>
              </w:rPr>
              <w:t>policy document.</w:t>
            </w:r>
          </w:p>
          <w:p w14:paraId="397A8E8B" w14:textId="77777777" w:rsidR="00CE352E" w:rsidRPr="001100B7"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 xml:space="preserve">Removal of changes to study mode (FT vs. PT) and suspension of studies from examples of concession to reflect </w:t>
            </w:r>
            <w:r w:rsidRPr="001100B7">
              <w:rPr>
                <w:rFonts w:cs="Arial"/>
                <w:color w:val="404040" w:themeColor="text1" w:themeTint="BF"/>
              </w:rPr>
              <w:lastRenderedPageBreak/>
              <w:t>scope of policy as these options are available to all students</w:t>
            </w:r>
            <w:r>
              <w:rPr>
                <w:rFonts w:cs="Arial"/>
                <w:color w:val="404040" w:themeColor="text1" w:themeTint="BF"/>
              </w:rPr>
              <w:t>.</w:t>
            </w:r>
          </w:p>
          <w:p w14:paraId="2DBB31AE" w14:textId="77777777" w:rsidR="00CE352E" w:rsidRPr="001100B7"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Inclusion of performance programme team commitments to reflect institution commitment to Wales’ Sporting University and requirement of student in these teams.</w:t>
            </w:r>
          </w:p>
          <w:p w14:paraId="016DA91F" w14:textId="77777777" w:rsidR="00CE352E" w:rsidRPr="001100B7"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R</w:t>
            </w:r>
            <w:r>
              <w:rPr>
                <w:rFonts w:cs="Arial"/>
                <w:color w:val="404040" w:themeColor="text1" w:themeTint="BF"/>
              </w:rPr>
              <w:t>emoval of</w:t>
            </w:r>
            <w:r w:rsidRPr="001100B7">
              <w:rPr>
                <w:rFonts w:cs="Arial"/>
                <w:color w:val="404040" w:themeColor="text1" w:themeTint="BF"/>
              </w:rPr>
              <w:t xml:space="preserve"> deadline for Tier 1 to allow full year access for students as required.</w:t>
            </w:r>
          </w:p>
          <w:p w14:paraId="66FDB39F" w14:textId="77777777" w:rsidR="00CE352E" w:rsidRPr="001100B7"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Updated policy contact to Athlete Lifestyle &amp; Education Manager to reflect staffing structure</w:t>
            </w:r>
          </w:p>
          <w:p w14:paraId="189E1922" w14:textId="12C4D0CA" w:rsidR="00CE352E" w:rsidRPr="00593868" w:rsidRDefault="00CE352E" w:rsidP="002D3CC9">
            <w:pPr>
              <w:pStyle w:val="ListParagraph"/>
              <w:numPr>
                <w:ilvl w:val="0"/>
                <w:numId w:val="39"/>
              </w:numPr>
              <w:rPr>
                <w:rFonts w:cs="Arial"/>
                <w:color w:val="404040" w:themeColor="text1" w:themeTint="BF"/>
              </w:rPr>
            </w:pPr>
            <w:r w:rsidRPr="001100B7">
              <w:rPr>
                <w:rFonts w:cs="Arial"/>
                <w:color w:val="404040" w:themeColor="text1" w:themeTint="BF"/>
              </w:rPr>
              <w:t>Minor wording changes.</w:t>
            </w:r>
          </w:p>
        </w:tc>
      </w:tr>
    </w:tbl>
    <w:p w14:paraId="1638E9D3" w14:textId="77777777" w:rsidR="000112AE" w:rsidRDefault="000112AE" w:rsidP="002A1820">
      <w:pPr>
        <w:pStyle w:val="Heading2"/>
        <w:numPr>
          <w:ilvl w:val="0"/>
          <w:numId w:val="0"/>
        </w:numPr>
      </w:pPr>
    </w:p>
    <w:p w14:paraId="5FDD1DDB" w14:textId="77777777" w:rsidR="009C7699" w:rsidRDefault="009C7699" w:rsidP="002A1820">
      <w:pPr>
        <w:pStyle w:val="Heading2"/>
        <w:numPr>
          <w:ilvl w:val="0"/>
          <w:numId w:val="0"/>
        </w:numPr>
      </w:pPr>
    </w:p>
    <w:sdt>
      <w:sdtPr>
        <w:rPr>
          <w:rFonts w:cstheme="minorBidi"/>
          <w:b w:val="0"/>
          <w:bCs w:val="0"/>
          <w:lang w:val="en-GB"/>
        </w:rPr>
        <w:id w:val="780540660"/>
        <w:docPartObj>
          <w:docPartGallery w:val="Table of Contents"/>
          <w:docPartUnique/>
        </w:docPartObj>
      </w:sdtPr>
      <w:sdtEndPr>
        <w:rPr>
          <w:noProof/>
        </w:rPr>
      </w:sdtEndPr>
      <w:sdtContent>
        <w:p w14:paraId="7FEC01B3" w14:textId="6BE04EFE" w:rsidR="0048290D" w:rsidRDefault="0048290D">
          <w:pPr>
            <w:pStyle w:val="TOCHeading"/>
          </w:pPr>
          <w:r>
            <w:t>Contents</w:t>
          </w:r>
        </w:p>
        <w:p w14:paraId="339F3039" w14:textId="335E2100" w:rsidR="005373FD" w:rsidRDefault="0048290D" w:rsidP="005373FD">
          <w:pPr>
            <w:pStyle w:val="TOC1"/>
            <w:rPr>
              <w:rFonts w:asciiTheme="minorHAnsi" w:eastAsiaTheme="minorEastAsia" w:hAnsiTheme="minorHAnsi"/>
              <w:noProof/>
              <w:color w:val="auto"/>
              <w:kern w:val="2"/>
              <w:szCs w:val="24"/>
              <w:lang w:eastAsia="en-GB"/>
              <w14:ligatures w14:val="standardContextual"/>
            </w:rPr>
          </w:pPr>
          <w:r>
            <w:fldChar w:fldCharType="begin"/>
          </w:r>
          <w:r>
            <w:instrText xml:space="preserve"> TOC \o "1-3" \h \z \u </w:instrText>
          </w:r>
          <w:r>
            <w:fldChar w:fldCharType="separate"/>
          </w:r>
          <w:hyperlink w:anchor="_Toc195604983" w:history="1">
            <w:r w:rsidR="005373FD" w:rsidRPr="007565B9">
              <w:rPr>
                <w:rStyle w:val="Hyperlink"/>
                <w:noProof/>
              </w:rPr>
              <w:t>1.</w:t>
            </w:r>
            <w:r w:rsidR="005373FD">
              <w:rPr>
                <w:rFonts w:asciiTheme="minorHAnsi" w:eastAsiaTheme="minorEastAsia" w:hAnsiTheme="minorHAnsi"/>
                <w:noProof/>
                <w:color w:val="auto"/>
                <w:kern w:val="2"/>
                <w:szCs w:val="24"/>
                <w:lang w:eastAsia="en-GB"/>
                <w14:ligatures w14:val="standardContextual"/>
              </w:rPr>
              <w:tab/>
            </w:r>
            <w:r w:rsidR="005373FD" w:rsidRPr="007565B9">
              <w:rPr>
                <w:rStyle w:val="Hyperlink"/>
                <w:noProof/>
              </w:rPr>
              <w:t>Introduction &amp; rationale</w:t>
            </w:r>
            <w:r w:rsidR="005373FD">
              <w:rPr>
                <w:noProof/>
                <w:webHidden/>
              </w:rPr>
              <w:tab/>
            </w:r>
            <w:r w:rsidR="005373FD">
              <w:rPr>
                <w:noProof/>
                <w:webHidden/>
              </w:rPr>
              <w:fldChar w:fldCharType="begin"/>
            </w:r>
            <w:r w:rsidR="005373FD">
              <w:rPr>
                <w:noProof/>
                <w:webHidden/>
              </w:rPr>
              <w:instrText xml:space="preserve"> PAGEREF _Toc195604983 \h </w:instrText>
            </w:r>
            <w:r w:rsidR="005373FD">
              <w:rPr>
                <w:noProof/>
                <w:webHidden/>
              </w:rPr>
            </w:r>
            <w:r w:rsidR="005373FD">
              <w:rPr>
                <w:noProof/>
                <w:webHidden/>
              </w:rPr>
              <w:fldChar w:fldCharType="separate"/>
            </w:r>
            <w:r w:rsidR="005373FD">
              <w:rPr>
                <w:noProof/>
                <w:webHidden/>
              </w:rPr>
              <w:t>3</w:t>
            </w:r>
            <w:r w:rsidR="005373FD">
              <w:rPr>
                <w:noProof/>
                <w:webHidden/>
              </w:rPr>
              <w:fldChar w:fldCharType="end"/>
            </w:r>
          </w:hyperlink>
        </w:p>
        <w:p w14:paraId="7D09BEAA" w14:textId="124253DC" w:rsidR="005373FD" w:rsidRDefault="005373FD" w:rsidP="005373FD">
          <w:pPr>
            <w:pStyle w:val="TOC1"/>
            <w:rPr>
              <w:rFonts w:asciiTheme="minorHAnsi" w:eastAsiaTheme="minorEastAsia" w:hAnsiTheme="minorHAnsi"/>
              <w:noProof/>
              <w:color w:val="auto"/>
              <w:kern w:val="2"/>
              <w:szCs w:val="24"/>
              <w:lang w:eastAsia="en-GB"/>
              <w14:ligatures w14:val="standardContextual"/>
            </w:rPr>
          </w:pPr>
          <w:hyperlink w:anchor="_Toc195604984" w:history="1">
            <w:r w:rsidRPr="007565B9">
              <w:rPr>
                <w:rStyle w:val="Hyperlink"/>
                <w:noProof/>
              </w:rPr>
              <w:t>2.</w:t>
            </w:r>
            <w:r>
              <w:rPr>
                <w:rFonts w:asciiTheme="minorHAnsi" w:eastAsiaTheme="minorEastAsia" w:hAnsiTheme="minorHAnsi"/>
                <w:noProof/>
                <w:color w:val="auto"/>
                <w:kern w:val="2"/>
                <w:szCs w:val="24"/>
                <w:lang w:eastAsia="en-GB"/>
                <w14:ligatures w14:val="standardContextual"/>
              </w:rPr>
              <w:tab/>
            </w:r>
            <w:r w:rsidRPr="007565B9">
              <w:rPr>
                <w:rStyle w:val="Hyperlink"/>
                <w:noProof/>
              </w:rPr>
              <w:t>Policy Outline</w:t>
            </w:r>
            <w:r>
              <w:rPr>
                <w:noProof/>
                <w:webHidden/>
              </w:rPr>
              <w:tab/>
            </w:r>
            <w:r>
              <w:rPr>
                <w:noProof/>
                <w:webHidden/>
              </w:rPr>
              <w:fldChar w:fldCharType="begin"/>
            </w:r>
            <w:r>
              <w:rPr>
                <w:noProof/>
                <w:webHidden/>
              </w:rPr>
              <w:instrText xml:space="preserve"> PAGEREF _Toc195604984 \h </w:instrText>
            </w:r>
            <w:r>
              <w:rPr>
                <w:noProof/>
                <w:webHidden/>
              </w:rPr>
            </w:r>
            <w:r>
              <w:rPr>
                <w:noProof/>
                <w:webHidden/>
              </w:rPr>
              <w:fldChar w:fldCharType="separate"/>
            </w:r>
            <w:r>
              <w:rPr>
                <w:noProof/>
                <w:webHidden/>
              </w:rPr>
              <w:t>3</w:t>
            </w:r>
            <w:r>
              <w:rPr>
                <w:noProof/>
                <w:webHidden/>
              </w:rPr>
              <w:fldChar w:fldCharType="end"/>
            </w:r>
          </w:hyperlink>
        </w:p>
        <w:p w14:paraId="79E4764B" w14:textId="7B8DE1DB" w:rsidR="005373FD" w:rsidRDefault="005373FD" w:rsidP="005373FD">
          <w:pPr>
            <w:pStyle w:val="TOC1"/>
            <w:rPr>
              <w:rFonts w:asciiTheme="minorHAnsi" w:eastAsiaTheme="minorEastAsia" w:hAnsiTheme="minorHAnsi"/>
              <w:noProof/>
              <w:color w:val="auto"/>
              <w:kern w:val="2"/>
              <w:szCs w:val="24"/>
              <w:lang w:eastAsia="en-GB"/>
              <w14:ligatures w14:val="standardContextual"/>
            </w:rPr>
          </w:pPr>
          <w:hyperlink w:anchor="_Toc195604985" w:history="1">
            <w:r w:rsidRPr="007565B9">
              <w:rPr>
                <w:rStyle w:val="Hyperlink"/>
                <w:noProof/>
              </w:rPr>
              <w:t>3.</w:t>
            </w:r>
            <w:r>
              <w:rPr>
                <w:rFonts w:asciiTheme="minorHAnsi" w:eastAsiaTheme="minorEastAsia" w:hAnsiTheme="minorHAnsi"/>
                <w:noProof/>
                <w:color w:val="auto"/>
                <w:kern w:val="2"/>
                <w:szCs w:val="24"/>
                <w:lang w:eastAsia="en-GB"/>
                <w14:ligatures w14:val="standardContextual"/>
              </w:rPr>
              <w:tab/>
            </w:r>
            <w:r w:rsidRPr="007565B9">
              <w:rPr>
                <w:rStyle w:val="Hyperlink"/>
                <w:noProof/>
              </w:rPr>
              <w:t>Policy Principles</w:t>
            </w:r>
            <w:r>
              <w:rPr>
                <w:noProof/>
                <w:webHidden/>
              </w:rPr>
              <w:tab/>
            </w:r>
            <w:r>
              <w:rPr>
                <w:noProof/>
                <w:webHidden/>
              </w:rPr>
              <w:fldChar w:fldCharType="begin"/>
            </w:r>
            <w:r>
              <w:rPr>
                <w:noProof/>
                <w:webHidden/>
              </w:rPr>
              <w:instrText xml:space="preserve"> PAGEREF _Toc195604985 \h </w:instrText>
            </w:r>
            <w:r>
              <w:rPr>
                <w:noProof/>
                <w:webHidden/>
              </w:rPr>
            </w:r>
            <w:r>
              <w:rPr>
                <w:noProof/>
                <w:webHidden/>
              </w:rPr>
              <w:fldChar w:fldCharType="separate"/>
            </w:r>
            <w:r>
              <w:rPr>
                <w:noProof/>
                <w:webHidden/>
              </w:rPr>
              <w:t>4</w:t>
            </w:r>
            <w:r>
              <w:rPr>
                <w:noProof/>
                <w:webHidden/>
              </w:rPr>
              <w:fldChar w:fldCharType="end"/>
            </w:r>
          </w:hyperlink>
        </w:p>
        <w:p w14:paraId="4C9B02DF" w14:textId="3268CA08" w:rsidR="005373FD" w:rsidRDefault="005373FD" w:rsidP="005373FD">
          <w:pPr>
            <w:pStyle w:val="TOC1"/>
            <w:rPr>
              <w:rFonts w:asciiTheme="minorHAnsi" w:eastAsiaTheme="minorEastAsia" w:hAnsiTheme="minorHAnsi"/>
              <w:noProof/>
              <w:color w:val="auto"/>
              <w:kern w:val="2"/>
              <w:szCs w:val="24"/>
              <w:lang w:eastAsia="en-GB"/>
              <w14:ligatures w14:val="standardContextual"/>
            </w:rPr>
          </w:pPr>
          <w:hyperlink w:anchor="_Toc195604986" w:history="1">
            <w:r w:rsidRPr="007565B9">
              <w:rPr>
                <w:rStyle w:val="Hyperlink"/>
                <w:noProof/>
              </w:rPr>
              <w:t>4.</w:t>
            </w:r>
            <w:r>
              <w:rPr>
                <w:rFonts w:asciiTheme="minorHAnsi" w:eastAsiaTheme="minorEastAsia" w:hAnsiTheme="minorHAnsi"/>
                <w:noProof/>
                <w:color w:val="auto"/>
                <w:kern w:val="2"/>
                <w:szCs w:val="24"/>
                <w:lang w:eastAsia="en-GB"/>
                <w14:ligatures w14:val="standardContextual"/>
              </w:rPr>
              <w:tab/>
            </w:r>
            <w:r w:rsidRPr="007565B9">
              <w:rPr>
                <w:rStyle w:val="Hyperlink"/>
                <w:noProof/>
              </w:rPr>
              <w:t>Policy</w:t>
            </w:r>
            <w:r>
              <w:rPr>
                <w:noProof/>
                <w:webHidden/>
              </w:rPr>
              <w:tab/>
            </w:r>
            <w:r>
              <w:rPr>
                <w:noProof/>
                <w:webHidden/>
              </w:rPr>
              <w:fldChar w:fldCharType="begin"/>
            </w:r>
            <w:r>
              <w:rPr>
                <w:noProof/>
                <w:webHidden/>
              </w:rPr>
              <w:instrText xml:space="preserve"> PAGEREF _Toc195604986 \h </w:instrText>
            </w:r>
            <w:r>
              <w:rPr>
                <w:noProof/>
                <w:webHidden/>
              </w:rPr>
            </w:r>
            <w:r>
              <w:rPr>
                <w:noProof/>
                <w:webHidden/>
              </w:rPr>
              <w:fldChar w:fldCharType="separate"/>
            </w:r>
            <w:r>
              <w:rPr>
                <w:noProof/>
                <w:webHidden/>
              </w:rPr>
              <w:t>4</w:t>
            </w:r>
            <w:r>
              <w:rPr>
                <w:noProof/>
                <w:webHidden/>
              </w:rPr>
              <w:fldChar w:fldCharType="end"/>
            </w:r>
          </w:hyperlink>
        </w:p>
        <w:p w14:paraId="71CA06F1" w14:textId="10F8C2BD" w:rsidR="005373FD" w:rsidRDefault="005373FD">
          <w:pPr>
            <w:pStyle w:val="TOC2"/>
            <w:tabs>
              <w:tab w:val="left" w:pos="960"/>
              <w:tab w:val="right" w:leader="dot" w:pos="9016"/>
            </w:tabs>
            <w:rPr>
              <w:rFonts w:asciiTheme="minorHAnsi" w:eastAsiaTheme="minorEastAsia" w:hAnsiTheme="minorHAnsi"/>
              <w:noProof/>
              <w:color w:val="auto"/>
              <w:kern w:val="2"/>
              <w:szCs w:val="24"/>
              <w:lang w:eastAsia="en-GB"/>
              <w14:ligatures w14:val="standardContextual"/>
            </w:rPr>
          </w:pPr>
          <w:hyperlink w:anchor="_Toc195604987" w:history="1">
            <w:r w:rsidRPr="007565B9">
              <w:rPr>
                <w:rStyle w:val="Hyperlink"/>
                <w:noProof/>
              </w:rPr>
              <w:t>4.1.</w:t>
            </w:r>
            <w:r>
              <w:rPr>
                <w:rFonts w:asciiTheme="minorHAnsi" w:eastAsiaTheme="minorEastAsia" w:hAnsiTheme="minorHAnsi"/>
                <w:noProof/>
                <w:color w:val="auto"/>
                <w:kern w:val="2"/>
                <w:szCs w:val="24"/>
                <w:lang w:eastAsia="en-GB"/>
                <w14:ligatures w14:val="standardContextual"/>
              </w:rPr>
              <w:tab/>
            </w:r>
            <w:r w:rsidRPr="007565B9">
              <w:rPr>
                <w:rStyle w:val="Hyperlink"/>
                <w:noProof/>
              </w:rPr>
              <w:t>Tier 1: Dual Career Athlete Status</w:t>
            </w:r>
            <w:r>
              <w:rPr>
                <w:noProof/>
                <w:webHidden/>
              </w:rPr>
              <w:tab/>
            </w:r>
            <w:r>
              <w:rPr>
                <w:noProof/>
                <w:webHidden/>
              </w:rPr>
              <w:fldChar w:fldCharType="begin"/>
            </w:r>
            <w:r>
              <w:rPr>
                <w:noProof/>
                <w:webHidden/>
              </w:rPr>
              <w:instrText xml:space="preserve"> PAGEREF _Toc195604987 \h </w:instrText>
            </w:r>
            <w:r>
              <w:rPr>
                <w:noProof/>
                <w:webHidden/>
              </w:rPr>
            </w:r>
            <w:r>
              <w:rPr>
                <w:noProof/>
                <w:webHidden/>
              </w:rPr>
              <w:fldChar w:fldCharType="separate"/>
            </w:r>
            <w:r>
              <w:rPr>
                <w:noProof/>
                <w:webHidden/>
              </w:rPr>
              <w:t>4</w:t>
            </w:r>
            <w:r>
              <w:rPr>
                <w:noProof/>
                <w:webHidden/>
              </w:rPr>
              <w:fldChar w:fldCharType="end"/>
            </w:r>
          </w:hyperlink>
        </w:p>
        <w:p w14:paraId="6E7934E6" w14:textId="53A374D8"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88" w:history="1">
            <w:r w:rsidRPr="007565B9">
              <w:rPr>
                <w:rStyle w:val="Hyperlink"/>
                <w:noProof/>
              </w:rPr>
              <w:t>4.1.1.</w:t>
            </w:r>
            <w:r>
              <w:rPr>
                <w:rFonts w:asciiTheme="minorHAnsi" w:eastAsiaTheme="minorEastAsia" w:hAnsiTheme="minorHAnsi"/>
                <w:noProof/>
                <w:color w:val="auto"/>
                <w:kern w:val="2"/>
                <w:szCs w:val="24"/>
                <w:lang w:eastAsia="en-GB"/>
                <w14:ligatures w14:val="standardContextual"/>
              </w:rPr>
              <w:tab/>
            </w:r>
            <w:r w:rsidRPr="007565B9">
              <w:rPr>
                <w:rStyle w:val="Hyperlink"/>
                <w:noProof/>
              </w:rPr>
              <w:t>Eligibility</w:t>
            </w:r>
            <w:r>
              <w:rPr>
                <w:noProof/>
                <w:webHidden/>
              </w:rPr>
              <w:tab/>
            </w:r>
            <w:r>
              <w:rPr>
                <w:noProof/>
                <w:webHidden/>
              </w:rPr>
              <w:fldChar w:fldCharType="begin"/>
            </w:r>
            <w:r>
              <w:rPr>
                <w:noProof/>
                <w:webHidden/>
              </w:rPr>
              <w:instrText xml:space="preserve"> PAGEREF _Toc195604988 \h </w:instrText>
            </w:r>
            <w:r>
              <w:rPr>
                <w:noProof/>
                <w:webHidden/>
              </w:rPr>
            </w:r>
            <w:r>
              <w:rPr>
                <w:noProof/>
                <w:webHidden/>
              </w:rPr>
              <w:fldChar w:fldCharType="separate"/>
            </w:r>
            <w:r>
              <w:rPr>
                <w:noProof/>
                <w:webHidden/>
              </w:rPr>
              <w:t>4</w:t>
            </w:r>
            <w:r>
              <w:rPr>
                <w:noProof/>
                <w:webHidden/>
              </w:rPr>
              <w:fldChar w:fldCharType="end"/>
            </w:r>
          </w:hyperlink>
        </w:p>
        <w:p w14:paraId="3AEF4461" w14:textId="75DEC047"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89" w:history="1">
            <w:r w:rsidRPr="007565B9">
              <w:rPr>
                <w:rStyle w:val="Hyperlink"/>
                <w:noProof/>
              </w:rPr>
              <w:t>4.1.2.</w:t>
            </w:r>
            <w:r>
              <w:rPr>
                <w:rFonts w:asciiTheme="minorHAnsi" w:eastAsiaTheme="minorEastAsia" w:hAnsiTheme="minorHAnsi"/>
                <w:noProof/>
                <w:color w:val="auto"/>
                <w:kern w:val="2"/>
                <w:szCs w:val="24"/>
                <w:lang w:eastAsia="en-GB"/>
                <w14:ligatures w14:val="standardContextual"/>
              </w:rPr>
              <w:tab/>
            </w:r>
            <w:r w:rsidRPr="007565B9">
              <w:rPr>
                <w:rStyle w:val="Hyperlink"/>
                <w:noProof/>
              </w:rPr>
              <w:t>Application process</w:t>
            </w:r>
            <w:r>
              <w:rPr>
                <w:noProof/>
                <w:webHidden/>
              </w:rPr>
              <w:tab/>
            </w:r>
            <w:r>
              <w:rPr>
                <w:noProof/>
                <w:webHidden/>
              </w:rPr>
              <w:fldChar w:fldCharType="begin"/>
            </w:r>
            <w:r>
              <w:rPr>
                <w:noProof/>
                <w:webHidden/>
              </w:rPr>
              <w:instrText xml:space="preserve"> PAGEREF _Toc195604989 \h </w:instrText>
            </w:r>
            <w:r>
              <w:rPr>
                <w:noProof/>
                <w:webHidden/>
              </w:rPr>
            </w:r>
            <w:r>
              <w:rPr>
                <w:noProof/>
                <w:webHidden/>
              </w:rPr>
              <w:fldChar w:fldCharType="separate"/>
            </w:r>
            <w:r>
              <w:rPr>
                <w:noProof/>
                <w:webHidden/>
              </w:rPr>
              <w:t>5</w:t>
            </w:r>
            <w:r>
              <w:rPr>
                <w:noProof/>
                <w:webHidden/>
              </w:rPr>
              <w:fldChar w:fldCharType="end"/>
            </w:r>
          </w:hyperlink>
        </w:p>
        <w:p w14:paraId="081F1B94" w14:textId="30A26DFC"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90" w:history="1">
            <w:r w:rsidRPr="007565B9">
              <w:rPr>
                <w:rStyle w:val="Hyperlink"/>
                <w:noProof/>
              </w:rPr>
              <w:t>4.1.3.</w:t>
            </w:r>
            <w:r>
              <w:rPr>
                <w:rFonts w:asciiTheme="minorHAnsi" w:eastAsiaTheme="minorEastAsia" w:hAnsiTheme="minorHAnsi"/>
                <w:noProof/>
                <w:color w:val="auto"/>
                <w:kern w:val="2"/>
                <w:szCs w:val="24"/>
                <w:lang w:eastAsia="en-GB"/>
                <w14:ligatures w14:val="standardContextual"/>
              </w:rPr>
              <w:tab/>
            </w:r>
            <w:r w:rsidRPr="007565B9">
              <w:rPr>
                <w:rStyle w:val="Hyperlink"/>
                <w:noProof/>
              </w:rPr>
              <w:t>Academic Concessions</w:t>
            </w:r>
            <w:r>
              <w:rPr>
                <w:noProof/>
                <w:webHidden/>
              </w:rPr>
              <w:tab/>
            </w:r>
            <w:r>
              <w:rPr>
                <w:noProof/>
                <w:webHidden/>
              </w:rPr>
              <w:fldChar w:fldCharType="begin"/>
            </w:r>
            <w:r>
              <w:rPr>
                <w:noProof/>
                <w:webHidden/>
              </w:rPr>
              <w:instrText xml:space="preserve"> PAGEREF _Toc195604990 \h </w:instrText>
            </w:r>
            <w:r>
              <w:rPr>
                <w:noProof/>
                <w:webHidden/>
              </w:rPr>
            </w:r>
            <w:r>
              <w:rPr>
                <w:noProof/>
                <w:webHidden/>
              </w:rPr>
              <w:fldChar w:fldCharType="separate"/>
            </w:r>
            <w:r>
              <w:rPr>
                <w:noProof/>
                <w:webHidden/>
              </w:rPr>
              <w:t>5</w:t>
            </w:r>
            <w:r>
              <w:rPr>
                <w:noProof/>
                <w:webHidden/>
              </w:rPr>
              <w:fldChar w:fldCharType="end"/>
            </w:r>
          </w:hyperlink>
        </w:p>
        <w:p w14:paraId="2C71A42E" w14:textId="145FC886" w:rsidR="005373FD" w:rsidRDefault="005373FD">
          <w:pPr>
            <w:pStyle w:val="TOC2"/>
            <w:tabs>
              <w:tab w:val="left" w:pos="960"/>
              <w:tab w:val="right" w:leader="dot" w:pos="9016"/>
            </w:tabs>
            <w:rPr>
              <w:rFonts w:asciiTheme="minorHAnsi" w:eastAsiaTheme="minorEastAsia" w:hAnsiTheme="minorHAnsi"/>
              <w:noProof/>
              <w:color w:val="auto"/>
              <w:kern w:val="2"/>
              <w:szCs w:val="24"/>
              <w:lang w:eastAsia="en-GB"/>
              <w14:ligatures w14:val="standardContextual"/>
            </w:rPr>
          </w:pPr>
          <w:hyperlink w:anchor="_Toc195604991" w:history="1">
            <w:r w:rsidRPr="007565B9">
              <w:rPr>
                <w:rStyle w:val="Hyperlink"/>
                <w:noProof/>
              </w:rPr>
              <w:t>4.2.</w:t>
            </w:r>
            <w:r>
              <w:rPr>
                <w:rFonts w:asciiTheme="minorHAnsi" w:eastAsiaTheme="minorEastAsia" w:hAnsiTheme="minorHAnsi"/>
                <w:noProof/>
                <w:color w:val="auto"/>
                <w:kern w:val="2"/>
                <w:szCs w:val="24"/>
                <w:lang w:eastAsia="en-GB"/>
                <w14:ligatures w14:val="standardContextual"/>
              </w:rPr>
              <w:tab/>
            </w:r>
            <w:r w:rsidRPr="007565B9">
              <w:rPr>
                <w:rStyle w:val="Hyperlink"/>
                <w:noProof/>
              </w:rPr>
              <w:t>Tier 2: Performance Sport Concession</w:t>
            </w:r>
            <w:r>
              <w:rPr>
                <w:noProof/>
                <w:webHidden/>
              </w:rPr>
              <w:tab/>
            </w:r>
            <w:r>
              <w:rPr>
                <w:noProof/>
                <w:webHidden/>
              </w:rPr>
              <w:fldChar w:fldCharType="begin"/>
            </w:r>
            <w:r>
              <w:rPr>
                <w:noProof/>
                <w:webHidden/>
              </w:rPr>
              <w:instrText xml:space="preserve"> PAGEREF _Toc195604991 \h </w:instrText>
            </w:r>
            <w:r>
              <w:rPr>
                <w:noProof/>
                <w:webHidden/>
              </w:rPr>
            </w:r>
            <w:r>
              <w:rPr>
                <w:noProof/>
                <w:webHidden/>
              </w:rPr>
              <w:fldChar w:fldCharType="separate"/>
            </w:r>
            <w:r>
              <w:rPr>
                <w:noProof/>
                <w:webHidden/>
              </w:rPr>
              <w:t>5</w:t>
            </w:r>
            <w:r>
              <w:rPr>
                <w:noProof/>
                <w:webHidden/>
              </w:rPr>
              <w:fldChar w:fldCharType="end"/>
            </w:r>
          </w:hyperlink>
        </w:p>
        <w:p w14:paraId="1EB44105" w14:textId="3F67CBD8"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92" w:history="1">
            <w:r w:rsidRPr="007565B9">
              <w:rPr>
                <w:rStyle w:val="Hyperlink"/>
                <w:noProof/>
              </w:rPr>
              <w:t>4.2.1.</w:t>
            </w:r>
            <w:r>
              <w:rPr>
                <w:rFonts w:asciiTheme="minorHAnsi" w:eastAsiaTheme="minorEastAsia" w:hAnsiTheme="minorHAnsi"/>
                <w:noProof/>
                <w:color w:val="auto"/>
                <w:kern w:val="2"/>
                <w:szCs w:val="24"/>
                <w:lang w:eastAsia="en-GB"/>
                <w14:ligatures w14:val="standardContextual"/>
              </w:rPr>
              <w:tab/>
            </w:r>
            <w:r w:rsidRPr="007565B9">
              <w:rPr>
                <w:rStyle w:val="Hyperlink"/>
                <w:noProof/>
              </w:rPr>
              <w:t>Eligibility</w:t>
            </w:r>
            <w:r>
              <w:rPr>
                <w:noProof/>
                <w:webHidden/>
              </w:rPr>
              <w:tab/>
            </w:r>
            <w:r>
              <w:rPr>
                <w:noProof/>
                <w:webHidden/>
              </w:rPr>
              <w:fldChar w:fldCharType="begin"/>
            </w:r>
            <w:r>
              <w:rPr>
                <w:noProof/>
                <w:webHidden/>
              </w:rPr>
              <w:instrText xml:space="preserve"> PAGEREF _Toc195604992 \h </w:instrText>
            </w:r>
            <w:r>
              <w:rPr>
                <w:noProof/>
                <w:webHidden/>
              </w:rPr>
            </w:r>
            <w:r>
              <w:rPr>
                <w:noProof/>
                <w:webHidden/>
              </w:rPr>
              <w:fldChar w:fldCharType="separate"/>
            </w:r>
            <w:r>
              <w:rPr>
                <w:noProof/>
                <w:webHidden/>
              </w:rPr>
              <w:t>5</w:t>
            </w:r>
            <w:r>
              <w:rPr>
                <w:noProof/>
                <w:webHidden/>
              </w:rPr>
              <w:fldChar w:fldCharType="end"/>
            </w:r>
          </w:hyperlink>
        </w:p>
        <w:p w14:paraId="042F1B29" w14:textId="1A5635AA"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93" w:history="1">
            <w:r w:rsidRPr="007565B9">
              <w:rPr>
                <w:rStyle w:val="Hyperlink"/>
                <w:noProof/>
              </w:rPr>
              <w:t>4.2.2.</w:t>
            </w:r>
            <w:r>
              <w:rPr>
                <w:rFonts w:asciiTheme="minorHAnsi" w:eastAsiaTheme="minorEastAsia" w:hAnsiTheme="minorHAnsi"/>
                <w:noProof/>
                <w:color w:val="auto"/>
                <w:kern w:val="2"/>
                <w:szCs w:val="24"/>
                <w:lang w:eastAsia="en-GB"/>
                <w14:ligatures w14:val="standardContextual"/>
              </w:rPr>
              <w:tab/>
            </w:r>
            <w:r w:rsidRPr="007565B9">
              <w:rPr>
                <w:rStyle w:val="Hyperlink"/>
                <w:noProof/>
              </w:rPr>
              <w:t>Application process</w:t>
            </w:r>
            <w:r>
              <w:rPr>
                <w:noProof/>
                <w:webHidden/>
              </w:rPr>
              <w:tab/>
            </w:r>
            <w:r>
              <w:rPr>
                <w:noProof/>
                <w:webHidden/>
              </w:rPr>
              <w:fldChar w:fldCharType="begin"/>
            </w:r>
            <w:r>
              <w:rPr>
                <w:noProof/>
                <w:webHidden/>
              </w:rPr>
              <w:instrText xml:space="preserve"> PAGEREF _Toc195604993 \h </w:instrText>
            </w:r>
            <w:r>
              <w:rPr>
                <w:noProof/>
                <w:webHidden/>
              </w:rPr>
            </w:r>
            <w:r>
              <w:rPr>
                <w:noProof/>
                <w:webHidden/>
              </w:rPr>
              <w:fldChar w:fldCharType="separate"/>
            </w:r>
            <w:r>
              <w:rPr>
                <w:noProof/>
                <w:webHidden/>
              </w:rPr>
              <w:t>6</w:t>
            </w:r>
            <w:r>
              <w:rPr>
                <w:noProof/>
                <w:webHidden/>
              </w:rPr>
              <w:fldChar w:fldCharType="end"/>
            </w:r>
          </w:hyperlink>
        </w:p>
        <w:p w14:paraId="1E31AC2B" w14:textId="5F6AA4C5"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94" w:history="1">
            <w:r w:rsidRPr="007565B9">
              <w:rPr>
                <w:rStyle w:val="Hyperlink"/>
                <w:noProof/>
              </w:rPr>
              <w:t>4.2.3.</w:t>
            </w:r>
            <w:r>
              <w:rPr>
                <w:rFonts w:asciiTheme="minorHAnsi" w:eastAsiaTheme="minorEastAsia" w:hAnsiTheme="minorHAnsi"/>
                <w:noProof/>
                <w:color w:val="auto"/>
                <w:kern w:val="2"/>
                <w:szCs w:val="24"/>
                <w:lang w:eastAsia="en-GB"/>
                <w14:ligatures w14:val="standardContextual"/>
              </w:rPr>
              <w:tab/>
            </w:r>
            <w:r w:rsidRPr="007565B9">
              <w:rPr>
                <w:rStyle w:val="Hyperlink"/>
                <w:noProof/>
              </w:rPr>
              <w:t>Academic Concession</w:t>
            </w:r>
            <w:r>
              <w:rPr>
                <w:noProof/>
                <w:webHidden/>
              </w:rPr>
              <w:tab/>
            </w:r>
            <w:r>
              <w:rPr>
                <w:noProof/>
                <w:webHidden/>
              </w:rPr>
              <w:fldChar w:fldCharType="begin"/>
            </w:r>
            <w:r>
              <w:rPr>
                <w:noProof/>
                <w:webHidden/>
              </w:rPr>
              <w:instrText xml:space="preserve"> PAGEREF _Toc195604994 \h </w:instrText>
            </w:r>
            <w:r>
              <w:rPr>
                <w:noProof/>
                <w:webHidden/>
              </w:rPr>
            </w:r>
            <w:r>
              <w:rPr>
                <w:noProof/>
                <w:webHidden/>
              </w:rPr>
              <w:fldChar w:fldCharType="separate"/>
            </w:r>
            <w:r>
              <w:rPr>
                <w:noProof/>
                <w:webHidden/>
              </w:rPr>
              <w:t>6</w:t>
            </w:r>
            <w:r>
              <w:rPr>
                <w:noProof/>
                <w:webHidden/>
              </w:rPr>
              <w:fldChar w:fldCharType="end"/>
            </w:r>
          </w:hyperlink>
        </w:p>
        <w:p w14:paraId="72A6B0E7" w14:textId="0B203EB4" w:rsidR="005373FD" w:rsidRDefault="005373FD">
          <w:pPr>
            <w:pStyle w:val="TOC3"/>
            <w:tabs>
              <w:tab w:val="left" w:pos="1440"/>
              <w:tab w:val="right" w:leader="dot" w:pos="9016"/>
            </w:tabs>
            <w:rPr>
              <w:rFonts w:asciiTheme="minorHAnsi" w:eastAsiaTheme="minorEastAsia" w:hAnsiTheme="minorHAnsi"/>
              <w:noProof/>
              <w:color w:val="auto"/>
              <w:kern w:val="2"/>
              <w:szCs w:val="24"/>
              <w:lang w:eastAsia="en-GB"/>
              <w14:ligatures w14:val="standardContextual"/>
            </w:rPr>
          </w:pPr>
          <w:hyperlink w:anchor="_Toc195604995" w:history="1">
            <w:r w:rsidRPr="007565B9">
              <w:rPr>
                <w:rStyle w:val="Hyperlink"/>
                <w:noProof/>
              </w:rPr>
              <w:t>4.2.4.</w:t>
            </w:r>
            <w:r>
              <w:rPr>
                <w:rFonts w:asciiTheme="minorHAnsi" w:eastAsiaTheme="minorEastAsia" w:hAnsiTheme="minorHAnsi"/>
                <w:noProof/>
                <w:color w:val="auto"/>
                <w:kern w:val="2"/>
                <w:szCs w:val="24"/>
                <w:lang w:eastAsia="en-GB"/>
                <w14:ligatures w14:val="standardContextual"/>
              </w:rPr>
              <w:tab/>
            </w:r>
            <w:r w:rsidRPr="007565B9">
              <w:rPr>
                <w:rStyle w:val="Hyperlink"/>
                <w:noProof/>
              </w:rPr>
              <w:t>Appeals</w:t>
            </w:r>
            <w:r>
              <w:rPr>
                <w:noProof/>
                <w:webHidden/>
              </w:rPr>
              <w:tab/>
            </w:r>
            <w:r>
              <w:rPr>
                <w:noProof/>
                <w:webHidden/>
              </w:rPr>
              <w:fldChar w:fldCharType="begin"/>
            </w:r>
            <w:r>
              <w:rPr>
                <w:noProof/>
                <w:webHidden/>
              </w:rPr>
              <w:instrText xml:space="preserve"> PAGEREF _Toc195604995 \h </w:instrText>
            </w:r>
            <w:r>
              <w:rPr>
                <w:noProof/>
                <w:webHidden/>
              </w:rPr>
            </w:r>
            <w:r>
              <w:rPr>
                <w:noProof/>
                <w:webHidden/>
              </w:rPr>
              <w:fldChar w:fldCharType="separate"/>
            </w:r>
            <w:r>
              <w:rPr>
                <w:noProof/>
                <w:webHidden/>
              </w:rPr>
              <w:t>7</w:t>
            </w:r>
            <w:r>
              <w:rPr>
                <w:noProof/>
                <w:webHidden/>
              </w:rPr>
              <w:fldChar w:fldCharType="end"/>
            </w:r>
          </w:hyperlink>
        </w:p>
        <w:p w14:paraId="7FDD9276" w14:textId="30EC234C" w:rsidR="005373FD" w:rsidRDefault="005373FD" w:rsidP="005373FD">
          <w:pPr>
            <w:pStyle w:val="TOC1"/>
            <w:rPr>
              <w:rFonts w:asciiTheme="minorHAnsi" w:eastAsiaTheme="minorEastAsia" w:hAnsiTheme="minorHAnsi"/>
              <w:noProof/>
              <w:color w:val="auto"/>
              <w:kern w:val="2"/>
              <w:szCs w:val="24"/>
              <w:lang w:eastAsia="en-GB"/>
              <w14:ligatures w14:val="standardContextual"/>
            </w:rPr>
          </w:pPr>
          <w:hyperlink w:anchor="_Toc195604996" w:history="1">
            <w:r w:rsidRPr="007565B9">
              <w:rPr>
                <w:rStyle w:val="Hyperlink"/>
                <w:noProof/>
              </w:rPr>
              <w:t>5.</w:t>
            </w:r>
            <w:r>
              <w:rPr>
                <w:rFonts w:asciiTheme="minorHAnsi" w:eastAsiaTheme="minorEastAsia" w:hAnsiTheme="minorHAnsi"/>
                <w:noProof/>
                <w:color w:val="auto"/>
                <w:kern w:val="2"/>
                <w:szCs w:val="24"/>
                <w:lang w:eastAsia="en-GB"/>
                <w14:ligatures w14:val="standardContextual"/>
              </w:rPr>
              <w:tab/>
            </w:r>
            <w:r w:rsidRPr="007565B9">
              <w:rPr>
                <w:rStyle w:val="Hyperlink"/>
                <w:noProof/>
              </w:rPr>
              <w:t>Policy Review and Approval</w:t>
            </w:r>
            <w:r>
              <w:rPr>
                <w:noProof/>
                <w:webHidden/>
              </w:rPr>
              <w:tab/>
            </w:r>
            <w:r>
              <w:rPr>
                <w:noProof/>
                <w:webHidden/>
              </w:rPr>
              <w:fldChar w:fldCharType="begin"/>
            </w:r>
            <w:r>
              <w:rPr>
                <w:noProof/>
                <w:webHidden/>
              </w:rPr>
              <w:instrText xml:space="preserve"> PAGEREF _Toc195604996 \h </w:instrText>
            </w:r>
            <w:r>
              <w:rPr>
                <w:noProof/>
                <w:webHidden/>
              </w:rPr>
            </w:r>
            <w:r>
              <w:rPr>
                <w:noProof/>
                <w:webHidden/>
              </w:rPr>
              <w:fldChar w:fldCharType="separate"/>
            </w:r>
            <w:r>
              <w:rPr>
                <w:noProof/>
                <w:webHidden/>
              </w:rPr>
              <w:t>7</w:t>
            </w:r>
            <w:r>
              <w:rPr>
                <w:noProof/>
                <w:webHidden/>
              </w:rPr>
              <w:fldChar w:fldCharType="end"/>
            </w:r>
          </w:hyperlink>
        </w:p>
        <w:p w14:paraId="1C0A219F" w14:textId="7248C581" w:rsidR="0048290D" w:rsidRDefault="0048290D">
          <w:r>
            <w:rPr>
              <w:b/>
              <w:bCs/>
              <w:noProof/>
            </w:rPr>
            <w:fldChar w:fldCharType="end"/>
          </w:r>
        </w:p>
      </w:sdtContent>
    </w:sdt>
    <w:p w14:paraId="13526C2B" w14:textId="77777777" w:rsidR="000A49B9" w:rsidRDefault="000A49B9" w:rsidP="002A1820">
      <w:pPr>
        <w:pStyle w:val="ActionPoints"/>
        <w:numPr>
          <w:ilvl w:val="0"/>
          <w:numId w:val="0"/>
        </w:numPr>
      </w:pPr>
    </w:p>
    <w:p w14:paraId="34F58B3F" w14:textId="77777777" w:rsidR="00835320" w:rsidRDefault="00835320">
      <w:pPr>
        <w:rPr>
          <w:rFonts w:eastAsiaTheme="majorEastAsia" w:cs="Arial"/>
          <w:b/>
          <w:bCs/>
          <w:szCs w:val="26"/>
        </w:rPr>
      </w:pPr>
      <w:bookmarkStart w:id="6" w:name="_Toc193894372"/>
      <w:r>
        <w:rPr>
          <w:rFonts w:cs="Arial"/>
          <w:b/>
          <w:bCs/>
        </w:rPr>
        <w:br w:type="page"/>
      </w:r>
    </w:p>
    <w:p w14:paraId="3117FA0A" w14:textId="7A83FFB4" w:rsidR="00FE01AE" w:rsidRDefault="00FE01AE" w:rsidP="00087C06">
      <w:pPr>
        <w:pStyle w:val="BodyText"/>
        <w:jc w:val="center"/>
      </w:pPr>
      <w:r w:rsidRPr="00BC4D0D">
        <w:lastRenderedPageBreak/>
        <w:t>Cardiff Metropolitan University - Dual Career Athlete &amp; Performance Sport Concession Policy</w:t>
      </w:r>
      <w:bookmarkEnd w:id="6"/>
    </w:p>
    <w:p w14:paraId="70615B9B" w14:textId="77777777" w:rsidR="00087C06" w:rsidRPr="00BC4D0D" w:rsidRDefault="00087C06" w:rsidP="00087C06">
      <w:pPr>
        <w:pStyle w:val="BodyText"/>
      </w:pPr>
    </w:p>
    <w:p w14:paraId="5674CCAE" w14:textId="5C26B475" w:rsidR="00FE01AE" w:rsidRPr="000051FD" w:rsidRDefault="00FE01AE" w:rsidP="004B048A">
      <w:pPr>
        <w:pStyle w:val="Heading1"/>
      </w:pPr>
      <w:bookmarkStart w:id="7" w:name="_Toc195604983"/>
      <w:r w:rsidRPr="000051FD">
        <w:t>Introduction &amp; rationale</w:t>
      </w:r>
      <w:bookmarkEnd w:id="7"/>
    </w:p>
    <w:p w14:paraId="0FF6064B" w14:textId="25B6BE64" w:rsidR="00FE01AE" w:rsidRPr="00B4760D" w:rsidRDefault="00FE01AE" w:rsidP="00FE01AE">
      <w:pPr>
        <w:spacing w:line="276" w:lineRule="auto"/>
        <w:jc w:val="both"/>
        <w:rPr>
          <w:rFonts w:cs="Arial"/>
          <w:iCs/>
          <w:shd w:val="clear" w:color="auto" w:fill="FEFFFE"/>
        </w:rPr>
      </w:pPr>
      <w:r w:rsidRPr="00B4760D">
        <w:rPr>
          <w:rFonts w:cs="Arial"/>
        </w:rPr>
        <w:t xml:space="preserve">Cardiff Metropolitan University </w:t>
      </w:r>
      <w:r w:rsidRPr="00B4760D">
        <w:rPr>
          <w:rFonts w:cs="Arial"/>
          <w:iCs/>
          <w:shd w:val="clear" w:color="auto" w:fill="FEFFFE"/>
        </w:rPr>
        <w:t>has a long and proud history in the identification, development and management of students engaging in elite level sport. The creation of this policy is intended to achieve two aims</w:t>
      </w:r>
      <w:r w:rsidR="00AE6205">
        <w:rPr>
          <w:rFonts w:cs="Arial"/>
          <w:iCs/>
          <w:shd w:val="clear" w:color="auto" w:fill="FEFFFE"/>
        </w:rPr>
        <w:t>:</w:t>
      </w:r>
    </w:p>
    <w:p w14:paraId="6C5C2E74" w14:textId="77777777" w:rsidR="00FE01AE" w:rsidRPr="00B4760D" w:rsidRDefault="00FE01AE" w:rsidP="00FE01AE">
      <w:pPr>
        <w:pStyle w:val="ListParagraph"/>
        <w:numPr>
          <w:ilvl w:val="0"/>
          <w:numId w:val="35"/>
        </w:numPr>
        <w:spacing w:after="0" w:line="276" w:lineRule="auto"/>
        <w:jc w:val="both"/>
        <w:rPr>
          <w:rFonts w:cs="Arial"/>
          <w:iCs/>
          <w:shd w:val="clear" w:color="auto" w:fill="FEFFFE"/>
        </w:rPr>
      </w:pPr>
      <w:r w:rsidRPr="00B4760D">
        <w:rPr>
          <w:rFonts w:cs="Arial"/>
          <w:iCs/>
          <w:shd w:val="clear" w:color="auto" w:fill="FEFFFE"/>
        </w:rPr>
        <w:t>Formally recognise students as Dual Career Athletes and ensure there is a consistent approach applied to help them manage and balance both their sporting and academic commitments.</w:t>
      </w:r>
    </w:p>
    <w:p w14:paraId="6BA11E2A" w14:textId="6451B129" w:rsidR="00FE01AE" w:rsidRDefault="00FE01AE" w:rsidP="00FE01AE">
      <w:pPr>
        <w:pStyle w:val="ListParagraph"/>
        <w:numPr>
          <w:ilvl w:val="0"/>
          <w:numId w:val="35"/>
        </w:numPr>
        <w:spacing w:after="0" w:line="276" w:lineRule="auto"/>
        <w:jc w:val="both"/>
        <w:rPr>
          <w:rFonts w:cs="Arial"/>
          <w:iCs/>
          <w:shd w:val="clear" w:color="auto" w:fill="FEFFFE"/>
        </w:rPr>
      </w:pPr>
      <w:r w:rsidRPr="00B4760D">
        <w:rPr>
          <w:rFonts w:cs="Arial"/>
          <w:iCs/>
          <w:shd w:val="clear" w:color="auto" w:fill="FEFFFE"/>
        </w:rPr>
        <w:t>Provide a clear process for students who are not recognised as Dual Career Athletes to apply for an academic concession based on a performance sport commitment.</w:t>
      </w:r>
    </w:p>
    <w:p w14:paraId="66D62E7B" w14:textId="77777777" w:rsidR="00FE01AE" w:rsidRPr="00FE01AE" w:rsidRDefault="00FE01AE" w:rsidP="00FE01AE">
      <w:pPr>
        <w:pStyle w:val="ListParagraph"/>
        <w:spacing w:after="0" w:line="276" w:lineRule="auto"/>
        <w:jc w:val="both"/>
        <w:rPr>
          <w:rFonts w:cs="Arial"/>
          <w:iCs/>
          <w:shd w:val="clear" w:color="auto" w:fill="FEFFFE"/>
        </w:rPr>
      </w:pPr>
    </w:p>
    <w:p w14:paraId="23767E60" w14:textId="0E536794" w:rsidR="00FE01AE" w:rsidRPr="00B4760D" w:rsidRDefault="00FE01AE" w:rsidP="00FE01AE">
      <w:pPr>
        <w:spacing w:line="276" w:lineRule="auto"/>
        <w:jc w:val="both"/>
        <w:rPr>
          <w:rFonts w:cs="Arial"/>
          <w:iCs/>
          <w:shd w:val="clear" w:color="auto" w:fill="FEFFFE"/>
        </w:rPr>
      </w:pPr>
      <w:r w:rsidRPr="00B4760D">
        <w:rPr>
          <w:rFonts w:cs="Arial"/>
          <w:iCs/>
          <w:shd w:val="clear" w:color="auto" w:fill="FEFFFE"/>
        </w:rPr>
        <w:t>Due to the nuances of performance sport, this policy recognises the need to meet these aims in a separate process to the traditional mitigating circumstances process. Due to the elite nature of Dual Career Athletes, the policy is set out to support a small number of students.</w:t>
      </w:r>
    </w:p>
    <w:p w14:paraId="4F77CC87" w14:textId="4FE78F04" w:rsidR="00FE01AE" w:rsidRPr="00B4760D" w:rsidRDefault="00FE01AE" w:rsidP="00FE01AE">
      <w:pPr>
        <w:spacing w:line="276" w:lineRule="auto"/>
        <w:jc w:val="both"/>
        <w:rPr>
          <w:rFonts w:cs="Arial"/>
        </w:rPr>
      </w:pPr>
      <w:r w:rsidRPr="00B4760D">
        <w:rPr>
          <w:rFonts w:cs="Arial"/>
        </w:rPr>
        <w:t xml:space="preserve">The establishment of this policy is a requirement of our on-going Talented Athlete Scholarship Scheme (TASS) accreditation and reflects changes across the sector, where a large number of HE &amp; FE institutions have established Dual Career Athlete policies. The purpose therefore is to ensure we remain a preferred admissions choice for student athletes and have in place the required support systems to retain and enhance their experience. </w:t>
      </w:r>
    </w:p>
    <w:p w14:paraId="6CAD5F0D" w14:textId="452D86C4" w:rsidR="00FE01AE" w:rsidRPr="000051FD" w:rsidRDefault="00FE01AE" w:rsidP="00651863">
      <w:pPr>
        <w:pStyle w:val="Heading1"/>
      </w:pPr>
      <w:bookmarkStart w:id="8" w:name="_Toc195604984"/>
      <w:r w:rsidRPr="000051FD">
        <w:t>Policy Outline</w:t>
      </w:r>
      <w:bookmarkEnd w:id="8"/>
    </w:p>
    <w:p w14:paraId="5AB60376" w14:textId="65F388BF" w:rsidR="00FE01AE" w:rsidRPr="00B4760D" w:rsidRDefault="00FE01AE" w:rsidP="00FE01AE">
      <w:pPr>
        <w:spacing w:line="276" w:lineRule="auto"/>
        <w:jc w:val="both"/>
        <w:rPr>
          <w:rFonts w:cs="Arial"/>
          <w:iCs/>
          <w:shd w:val="clear" w:color="auto" w:fill="FEFFFE"/>
        </w:rPr>
      </w:pPr>
      <w:r w:rsidRPr="00B4760D">
        <w:rPr>
          <w:rFonts w:cs="Arial"/>
        </w:rPr>
        <w:t xml:space="preserve">This policy sets out an approach to Academic Concessions that supports students to achieve academic excellence while also pursuing a sporting career. It therefore confirms </w:t>
      </w:r>
      <w:r w:rsidRPr="00B4760D">
        <w:rPr>
          <w:rFonts w:cs="Arial"/>
          <w:iCs/>
          <w:shd w:val="clear" w:color="auto" w:fill="FEFFFE"/>
        </w:rPr>
        <w:t>the primacy of promoting and supporting the academic progression and achievement of our dual career athletes and those striving for this level.</w:t>
      </w:r>
    </w:p>
    <w:p w14:paraId="57FE2157" w14:textId="239ED4BA" w:rsidR="00FE01AE" w:rsidRPr="00B4760D" w:rsidRDefault="00FE01AE" w:rsidP="00FE01AE">
      <w:pPr>
        <w:spacing w:line="276" w:lineRule="auto"/>
        <w:jc w:val="both"/>
        <w:rPr>
          <w:rFonts w:cs="Arial"/>
          <w:iCs/>
          <w:shd w:val="clear" w:color="auto" w:fill="FEFFFE"/>
        </w:rPr>
      </w:pPr>
      <w:r w:rsidRPr="00B4760D">
        <w:rPr>
          <w:rFonts w:cs="Arial"/>
          <w:iCs/>
          <w:shd w:val="clear" w:color="auto" w:fill="FEFFFE"/>
        </w:rPr>
        <w:t>The policy is split into two tiers:</w:t>
      </w:r>
    </w:p>
    <w:p w14:paraId="4B51F5CC" w14:textId="77777777" w:rsidR="00FE01AE" w:rsidRPr="00B4760D" w:rsidRDefault="00FE01AE" w:rsidP="00FE01AE">
      <w:pPr>
        <w:pStyle w:val="ListParagraph"/>
        <w:numPr>
          <w:ilvl w:val="0"/>
          <w:numId w:val="36"/>
        </w:numPr>
        <w:spacing w:after="0" w:line="276" w:lineRule="auto"/>
        <w:jc w:val="both"/>
        <w:rPr>
          <w:rFonts w:cs="Arial"/>
        </w:rPr>
      </w:pPr>
      <w:r w:rsidRPr="00B4760D">
        <w:rPr>
          <w:rFonts w:cs="Arial"/>
          <w:b/>
          <w:bCs/>
        </w:rPr>
        <w:t>Tier 1: Dual Career Athlete Status</w:t>
      </w:r>
      <w:r w:rsidRPr="00B4760D">
        <w:rPr>
          <w:rFonts w:cs="Arial"/>
        </w:rPr>
        <w:t xml:space="preserve"> – This tier of support is to formally recognise students for on-going support based on a sustained performance level.</w:t>
      </w:r>
    </w:p>
    <w:p w14:paraId="34697792" w14:textId="6F7C6E2B" w:rsidR="00FE01AE" w:rsidRDefault="00FE01AE" w:rsidP="00FE01AE">
      <w:pPr>
        <w:pStyle w:val="ListParagraph"/>
        <w:numPr>
          <w:ilvl w:val="0"/>
          <w:numId w:val="36"/>
        </w:numPr>
        <w:spacing w:after="0" w:line="276" w:lineRule="auto"/>
        <w:jc w:val="both"/>
        <w:rPr>
          <w:rFonts w:cs="Arial"/>
        </w:rPr>
      </w:pPr>
      <w:r w:rsidRPr="00B4760D">
        <w:rPr>
          <w:rFonts w:cs="Arial"/>
          <w:b/>
          <w:bCs/>
        </w:rPr>
        <w:t>Tier 2: Performance Sport Concession</w:t>
      </w:r>
      <w:r w:rsidRPr="00B4760D">
        <w:rPr>
          <w:rFonts w:cs="Arial"/>
        </w:rPr>
        <w:t xml:space="preserve"> – This tier of support is for those not recognised as Dual Career Athletes and for instances where there is a conflict between a performance sport commitment and academic commitment required at a set time (I.e., practical, exam, presentation).</w:t>
      </w:r>
    </w:p>
    <w:p w14:paraId="488102B7" w14:textId="77777777" w:rsidR="000A49B9" w:rsidRPr="000A49B9" w:rsidRDefault="000A49B9" w:rsidP="000A49B9">
      <w:pPr>
        <w:pStyle w:val="ListParagraph"/>
        <w:spacing w:after="0" w:line="276" w:lineRule="auto"/>
        <w:jc w:val="both"/>
        <w:rPr>
          <w:rFonts w:cs="Arial"/>
        </w:rPr>
      </w:pPr>
    </w:p>
    <w:p w14:paraId="027026E5" w14:textId="77777777" w:rsidR="001C04EE" w:rsidRDefault="001C04EE" w:rsidP="00FE01AE">
      <w:pPr>
        <w:spacing w:line="276" w:lineRule="auto"/>
        <w:jc w:val="both"/>
        <w:rPr>
          <w:rFonts w:cs="Arial"/>
          <w:b/>
          <w:bCs/>
        </w:rPr>
      </w:pPr>
    </w:p>
    <w:p w14:paraId="67CA2DEE" w14:textId="5C3743D2" w:rsidR="00FE01AE" w:rsidRPr="000051FD" w:rsidRDefault="00FE01AE" w:rsidP="004B048A">
      <w:pPr>
        <w:pStyle w:val="Heading1"/>
      </w:pPr>
      <w:bookmarkStart w:id="9" w:name="_Toc195604985"/>
      <w:r w:rsidRPr="000051FD">
        <w:lastRenderedPageBreak/>
        <w:t>Policy Principles</w:t>
      </w:r>
      <w:bookmarkEnd w:id="9"/>
    </w:p>
    <w:p w14:paraId="5250F2E1" w14:textId="77777777" w:rsidR="00FE01AE" w:rsidRPr="00B4760D" w:rsidRDefault="00FE01AE" w:rsidP="00FE01AE">
      <w:pPr>
        <w:pStyle w:val="Default"/>
        <w:numPr>
          <w:ilvl w:val="0"/>
          <w:numId w:val="34"/>
        </w:numPr>
        <w:spacing w:line="276" w:lineRule="auto"/>
        <w:jc w:val="both"/>
        <w:rPr>
          <w:rStyle w:val="CommentReference"/>
          <w:rFonts w:ascii="Arial" w:hAnsi="Arial" w:cs="Arial"/>
          <w:color w:val="auto"/>
          <w:sz w:val="24"/>
          <w:szCs w:val="24"/>
        </w:rPr>
      </w:pPr>
      <w:r w:rsidRPr="00B4760D">
        <w:rPr>
          <w:rFonts w:ascii="Arial" w:hAnsi="Arial" w:cs="Arial"/>
          <w:color w:val="auto"/>
          <w:sz w:val="24"/>
          <w:szCs w:val="24"/>
        </w:rPr>
        <w:t>Students should be expected to make good any academic commitment that would be missed.</w:t>
      </w:r>
    </w:p>
    <w:p w14:paraId="06827F67" w14:textId="77777777" w:rsidR="00FE01AE" w:rsidRPr="00B4760D" w:rsidRDefault="00FE01AE" w:rsidP="00FE01AE">
      <w:pPr>
        <w:pStyle w:val="Default"/>
        <w:numPr>
          <w:ilvl w:val="0"/>
          <w:numId w:val="34"/>
        </w:numPr>
        <w:spacing w:line="276" w:lineRule="auto"/>
        <w:jc w:val="both"/>
        <w:rPr>
          <w:rFonts w:ascii="Arial" w:hAnsi="Arial" w:cs="Arial"/>
          <w:color w:val="auto"/>
          <w:sz w:val="24"/>
          <w:szCs w:val="24"/>
        </w:rPr>
      </w:pPr>
      <w:r w:rsidRPr="00B4760D">
        <w:rPr>
          <w:rFonts w:ascii="Arial" w:hAnsi="Arial" w:cs="Arial"/>
          <w:color w:val="auto"/>
          <w:sz w:val="24"/>
          <w:szCs w:val="24"/>
        </w:rPr>
        <w:t>The alternative arrangements required to make good the academic commitment(s), including summative assessments and examinations, should be reasonable for the student, the School, Registry and other parties involved.</w:t>
      </w:r>
    </w:p>
    <w:p w14:paraId="575E47D7" w14:textId="77777777" w:rsidR="00FE01AE" w:rsidRPr="00B4760D" w:rsidRDefault="00FE01AE" w:rsidP="00FE01AE">
      <w:pPr>
        <w:pStyle w:val="Default"/>
        <w:numPr>
          <w:ilvl w:val="0"/>
          <w:numId w:val="34"/>
        </w:numPr>
        <w:spacing w:line="276" w:lineRule="auto"/>
        <w:jc w:val="both"/>
        <w:rPr>
          <w:rFonts w:ascii="Arial" w:hAnsi="Arial" w:cs="Arial"/>
          <w:color w:val="auto"/>
          <w:sz w:val="24"/>
          <w:szCs w:val="24"/>
        </w:rPr>
      </w:pPr>
      <w:r w:rsidRPr="62476483">
        <w:rPr>
          <w:rFonts w:ascii="Arial" w:hAnsi="Arial" w:cs="Arial"/>
          <w:color w:val="auto"/>
          <w:sz w:val="24"/>
          <w:szCs w:val="24"/>
        </w:rPr>
        <w:t>Where a concession is granted, normally, no further allowance will be made for absences when assessing an individual's academic performance</w:t>
      </w:r>
      <w:r w:rsidRPr="64F0A086">
        <w:rPr>
          <w:rFonts w:ascii="Arial" w:hAnsi="Arial" w:cs="Arial"/>
          <w:color w:val="auto"/>
          <w:sz w:val="24"/>
          <w:szCs w:val="24"/>
        </w:rPr>
        <w:t>.</w:t>
      </w:r>
      <w:r w:rsidRPr="62476483">
        <w:rPr>
          <w:rFonts w:ascii="Arial" w:hAnsi="Arial" w:cs="Arial"/>
          <w:color w:val="auto"/>
          <w:sz w:val="24"/>
          <w:szCs w:val="24"/>
        </w:rPr>
        <w:t xml:space="preserve"> </w:t>
      </w:r>
    </w:p>
    <w:p w14:paraId="56F6F080" w14:textId="3DB91C7A" w:rsidR="00FE01AE" w:rsidRPr="00B4760D" w:rsidRDefault="00FE01AE" w:rsidP="00FE01AE">
      <w:pPr>
        <w:pStyle w:val="Default"/>
        <w:numPr>
          <w:ilvl w:val="0"/>
          <w:numId w:val="34"/>
        </w:numPr>
        <w:spacing w:line="276" w:lineRule="auto"/>
        <w:jc w:val="both"/>
        <w:rPr>
          <w:color w:val="auto"/>
          <w:sz w:val="24"/>
          <w:szCs w:val="24"/>
        </w:rPr>
      </w:pPr>
      <w:r w:rsidRPr="44C0C285">
        <w:rPr>
          <w:rFonts w:ascii="Arial" w:hAnsi="Arial" w:cs="Arial"/>
          <w:color w:val="auto"/>
          <w:sz w:val="24"/>
          <w:szCs w:val="24"/>
        </w:rPr>
        <w:t xml:space="preserve">Where concessions are </w:t>
      </w:r>
      <w:r w:rsidR="00103A1E" w:rsidRPr="7AFA5E70">
        <w:rPr>
          <w:rFonts w:ascii="Arial" w:hAnsi="Arial" w:cs="Arial"/>
          <w:color w:val="auto"/>
          <w:sz w:val="24"/>
          <w:szCs w:val="24"/>
        </w:rPr>
        <w:t>granted,</w:t>
      </w:r>
      <w:r w:rsidRPr="53215619">
        <w:rPr>
          <w:rFonts w:ascii="Arial" w:hAnsi="Arial" w:cs="Arial"/>
          <w:color w:val="auto"/>
          <w:sz w:val="24"/>
          <w:szCs w:val="24"/>
        </w:rPr>
        <w:t xml:space="preserve"> there will be </w:t>
      </w:r>
      <w:r w:rsidRPr="0B64EE94">
        <w:rPr>
          <w:rFonts w:ascii="Arial" w:hAnsi="Arial" w:cs="Arial"/>
          <w:color w:val="auto"/>
          <w:sz w:val="24"/>
          <w:szCs w:val="24"/>
        </w:rPr>
        <w:t xml:space="preserve">no </w:t>
      </w:r>
      <w:r w:rsidRPr="476DDDF1">
        <w:rPr>
          <w:rFonts w:ascii="Arial" w:hAnsi="Arial" w:cs="Arial"/>
          <w:color w:val="auto"/>
          <w:sz w:val="24"/>
          <w:szCs w:val="24"/>
        </w:rPr>
        <w:t xml:space="preserve">implications </w:t>
      </w:r>
      <w:r w:rsidRPr="3CA5A3BE">
        <w:rPr>
          <w:rFonts w:ascii="Arial" w:hAnsi="Arial" w:cs="Arial"/>
          <w:color w:val="auto"/>
          <w:sz w:val="24"/>
          <w:szCs w:val="24"/>
        </w:rPr>
        <w:t xml:space="preserve">for or </w:t>
      </w:r>
      <w:r w:rsidRPr="009CB461">
        <w:rPr>
          <w:rFonts w:ascii="Arial" w:hAnsi="Arial" w:cs="Arial"/>
          <w:color w:val="auto"/>
          <w:sz w:val="24"/>
          <w:szCs w:val="24"/>
        </w:rPr>
        <w:t>change</w:t>
      </w:r>
      <w:r w:rsidRPr="16A6724B">
        <w:rPr>
          <w:rFonts w:ascii="Arial" w:hAnsi="Arial" w:cs="Arial"/>
          <w:color w:val="auto"/>
          <w:sz w:val="24"/>
          <w:szCs w:val="24"/>
        </w:rPr>
        <w:t xml:space="preserve"> </w:t>
      </w:r>
      <w:r w:rsidRPr="5FF7B9C5">
        <w:rPr>
          <w:rFonts w:ascii="Arial" w:hAnsi="Arial" w:cs="Arial"/>
          <w:color w:val="auto"/>
          <w:sz w:val="24"/>
          <w:szCs w:val="24"/>
        </w:rPr>
        <w:t>to</w:t>
      </w:r>
      <w:r w:rsidRPr="476DDDF1">
        <w:rPr>
          <w:rFonts w:ascii="Arial" w:hAnsi="Arial" w:cs="Arial"/>
          <w:color w:val="auto"/>
          <w:sz w:val="24"/>
          <w:szCs w:val="24"/>
        </w:rPr>
        <w:t xml:space="preserve"> </w:t>
      </w:r>
      <w:r w:rsidRPr="44C0C285">
        <w:rPr>
          <w:rFonts w:ascii="Arial" w:hAnsi="Arial" w:cs="Arial"/>
          <w:color w:val="auto"/>
          <w:sz w:val="24"/>
          <w:szCs w:val="24"/>
        </w:rPr>
        <w:t xml:space="preserve">degree </w:t>
      </w:r>
      <w:r w:rsidRPr="34563262">
        <w:rPr>
          <w:rFonts w:ascii="Arial" w:hAnsi="Arial" w:cs="Arial"/>
          <w:color w:val="auto"/>
          <w:sz w:val="24"/>
          <w:szCs w:val="24"/>
        </w:rPr>
        <w:t>classifications or award</w:t>
      </w:r>
      <w:r w:rsidRPr="6C99CADC">
        <w:rPr>
          <w:rFonts w:ascii="Arial" w:hAnsi="Arial" w:cs="Arial"/>
          <w:color w:val="auto"/>
          <w:sz w:val="24"/>
          <w:szCs w:val="24"/>
        </w:rPr>
        <w:t>.</w:t>
      </w:r>
      <w:r w:rsidRPr="44C0C285">
        <w:rPr>
          <w:rFonts w:ascii="Arial" w:hAnsi="Arial" w:cs="Arial"/>
          <w:color w:val="auto"/>
          <w:sz w:val="24"/>
          <w:szCs w:val="24"/>
        </w:rPr>
        <w:t xml:space="preserve"> </w:t>
      </w:r>
    </w:p>
    <w:p w14:paraId="5A753FD5" w14:textId="77777777" w:rsidR="00FE01AE" w:rsidRPr="00880E52" w:rsidRDefault="00FE01AE" w:rsidP="00FE01AE">
      <w:pPr>
        <w:pStyle w:val="Default"/>
        <w:numPr>
          <w:ilvl w:val="0"/>
          <w:numId w:val="34"/>
        </w:numPr>
        <w:spacing w:line="276" w:lineRule="auto"/>
        <w:jc w:val="both"/>
        <w:rPr>
          <w:rFonts w:ascii="Arial" w:hAnsi="Arial" w:cs="Arial"/>
          <w:color w:val="auto"/>
          <w:sz w:val="24"/>
          <w:szCs w:val="24"/>
        </w:rPr>
      </w:pPr>
      <w:r w:rsidRPr="457948FB">
        <w:rPr>
          <w:rFonts w:ascii="Arial" w:hAnsi="Arial" w:cs="Arial"/>
          <w:color w:val="auto"/>
          <w:sz w:val="24"/>
          <w:szCs w:val="24"/>
        </w:rPr>
        <w:t xml:space="preserve">All such students should be treated in a fair manner and the arrangements proposed </w:t>
      </w:r>
      <w:r w:rsidRPr="00880E52">
        <w:rPr>
          <w:rFonts w:ascii="Arial" w:hAnsi="Arial" w:cs="Arial"/>
          <w:color w:val="auto"/>
          <w:sz w:val="24"/>
          <w:szCs w:val="24"/>
        </w:rPr>
        <w:t>for an individual student should not place that student at a significant advantage or disadvantage compared to students not supported through this policy.</w:t>
      </w:r>
    </w:p>
    <w:p w14:paraId="5F1EA658" w14:textId="1809D06D" w:rsidR="00FE01AE" w:rsidRPr="00880E52" w:rsidRDefault="00FE01AE" w:rsidP="00FE01AE">
      <w:pPr>
        <w:pStyle w:val="Default"/>
        <w:numPr>
          <w:ilvl w:val="0"/>
          <w:numId w:val="34"/>
        </w:numPr>
        <w:spacing w:line="276" w:lineRule="auto"/>
        <w:jc w:val="both"/>
        <w:rPr>
          <w:rFonts w:ascii="Arial" w:hAnsi="Arial" w:cs="Arial"/>
          <w:color w:val="auto"/>
          <w:sz w:val="24"/>
          <w:szCs w:val="24"/>
        </w:rPr>
      </w:pPr>
      <w:r w:rsidRPr="00880E52">
        <w:rPr>
          <w:rFonts w:ascii="Arial" w:hAnsi="Arial" w:cs="Arial"/>
          <w:color w:val="auto"/>
          <w:sz w:val="24"/>
          <w:szCs w:val="24"/>
        </w:rPr>
        <w:t xml:space="preserve">The policy has scope of academic concessions within the student’s current mode of study. The policy does not cover changes from full to part-time study or suspension of studies. These </w:t>
      </w:r>
      <w:r w:rsidR="00880E52" w:rsidRPr="00880E52">
        <w:rPr>
          <w:rFonts w:ascii="Arial" w:hAnsi="Arial" w:cs="Arial"/>
          <w:color w:val="auto"/>
          <w:sz w:val="24"/>
          <w:szCs w:val="24"/>
        </w:rPr>
        <w:t>are</w:t>
      </w:r>
      <w:r w:rsidRPr="00880E52">
        <w:rPr>
          <w:rFonts w:ascii="Arial" w:hAnsi="Arial" w:cs="Arial"/>
          <w:color w:val="auto"/>
          <w:sz w:val="24"/>
          <w:szCs w:val="24"/>
        </w:rPr>
        <w:t xml:space="preserve"> determined under normal university procedures.</w:t>
      </w:r>
    </w:p>
    <w:p w14:paraId="11BAA523" w14:textId="76341FBA" w:rsidR="00880E52" w:rsidRDefault="00880E52" w:rsidP="00FE01AE">
      <w:pPr>
        <w:pStyle w:val="Default"/>
        <w:numPr>
          <w:ilvl w:val="0"/>
          <w:numId w:val="34"/>
        </w:numPr>
        <w:spacing w:line="276" w:lineRule="auto"/>
        <w:jc w:val="both"/>
        <w:rPr>
          <w:rFonts w:ascii="Arial" w:hAnsi="Arial" w:cs="Arial"/>
          <w:color w:val="auto"/>
          <w:sz w:val="24"/>
          <w:szCs w:val="24"/>
        </w:rPr>
      </w:pPr>
      <w:r w:rsidRPr="00880E52">
        <w:rPr>
          <w:rFonts w:ascii="Arial" w:hAnsi="Arial" w:cs="Arial"/>
          <w:color w:val="auto"/>
          <w:sz w:val="24"/>
          <w:szCs w:val="24"/>
        </w:rPr>
        <w:t xml:space="preserve">This policy will adapt as and when required where changes are made to other university wide polices such as mitigating circumstances. Where appropriate, these will be applied within the current approved policy. </w:t>
      </w:r>
      <w:r>
        <w:rPr>
          <w:rFonts w:ascii="Arial" w:hAnsi="Arial" w:cs="Arial"/>
          <w:color w:val="auto"/>
          <w:sz w:val="24"/>
          <w:szCs w:val="24"/>
        </w:rPr>
        <w:t>Any changes that create a fundamental change to this policy, will lead to the policy being reviewed at the earliest opportunity.</w:t>
      </w:r>
    </w:p>
    <w:p w14:paraId="71B82C8F" w14:textId="77777777" w:rsidR="00880E52" w:rsidRPr="00880E52" w:rsidRDefault="00880E52" w:rsidP="00880E52">
      <w:pPr>
        <w:pStyle w:val="Default"/>
        <w:spacing w:line="276" w:lineRule="auto"/>
        <w:ind w:left="720"/>
        <w:jc w:val="both"/>
        <w:rPr>
          <w:rFonts w:ascii="Arial" w:hAnsi="Arial" w:cs="Arial"/>
          <w:color w:val="auto"/>
          <w:sz w:val="24"/>
          <w:szCs w:val="24"/>
        </w:rPr>
      </w:pPr>
    </w:p>
    <w:p w14:paraId="7EA7E217" w14:textId="77777777" w:rsidR="002A1820" w:rsidRDefault="00FE01AE" w:rsidP="002A1820">
      <w:pPr>
        <w:pStyle w:val="Heading1"/>
      </w:pPr>
      <w:bookmarkStart w:id="10" w:name="_Toc195604986"/>
      <w:r w:rsidRPr="004B048A">
        <w:t>Policy</w:t>
      </w:r>
      <w:bookmarkEnd w:id="10"/>
    </w:p>
    <w:p w14:paraId="616A6A70" w14:textId="77777777" w:rsidR="002A1820" w:rsidRPr="002A1820" w:rsidRDefault="002A1820" w:rsidP="002A1820">
      <w:pPr>
        <w:pStyle w:val="Heading2"/>
        <w:numPr>
          <w:ilvl w:val="0"/>
          <w:numId w:val="0"/>
        </w:numPr>
        <w:ind w:left="578"/>
      </w:pPr>
    </w:p>
    <w:p w14:paraId="35B736D8" w14:textId="08162D6F" w:rsidR="000051FD" w:rsidRPr="005373FD" w:rsidRDefault="00FE01AE" w:rsidP="005373FD">
      <w:pPr>
        <w:pStyle w:val="Heading2"/>
      </w:pPr>
      <w:bookmarkStart w:id="11" w:name="_Toc195604987"/>
      <w:r w:rsidRPr="000051FD">
        <w:t>Tier 1: Dual Career Athlete Status</w:t>
      </w:r>
      <w:bookmarkEnd w:id="11"/>
    </w:p>
    <w:p w14:paraId="08429F39" w14:textId="77777777" w:rsidR="000051FD" w:rsidRPr="00651863" w:rsidRDefault="00FE01AE" w:rsidP="00651863">
      <w:pPr>
        <w:pStyle w:val="Heading3"/>
      </w:pPr>
      <w:bookmarkStart w:id="12" w:name="_Toc195604988"/>
      <w:r w:rsidRPr="00651863">
        <w:t>Eligibility</w:t>
      </w:r>
      <w:bookmarkEnd w:id="12"/>
    </w:p>
    <w:p w14:paraId="71E5831A"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shd w:val="clear" w:color="auto" w:fill="FEFFFE"/>
        </w:rPr>
        <w:t xml:space="preserve">Eligible students will have a sustained commitment at national or international competition level and/or be a contracted academy/national development squad member/professional or semi pro. </w:t>
      </w:r>
    </w:p>
    <w:p w14:paraId="34BA77EF"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iCs/>
          <w:shd w:val="clear" w:color="auto" w:fill="FEFFFE"/>
        </w:rPr>
        <w:t>Due to these criteria, it is expected that a relatively small number of students will achieve this designation each year, ensuring that only those truly ‘elite’ in nature will be regarded as Dual Career Athletes.</w:t>
      </w:r>
    </w:p>
    <w:p w14:paraId="5A3B0DFF"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shd w:val="clear" w:color="auto" w:fill="FEFFFE"/>
        </w:rPr>
        <w:t>In exceptional circumstances, the Head of Sport System will have the discretion based on a formal application to designate a student as a Dual Career Athlete outside of the above parameters and only with support of the Director of Sport.</w:t>
      </w:r>
    </w:p>
    <w:p w14:paraId="6BD237C1" w14:textId="77777777" w:rsidR="000051FD" w:rsidRPr="000051FD" w:rsidRDefault="000051FD" w:rsidP="000051FD">
      <w:pPr>
        <w:pStyle w:val="ListParagraph"/>
        <w:spacing w:line="276" w:lineRule="auto"/>
        <w:ind w:left="1728"/>
        <w:jc w:val="both"/>
        <w:rPr>
          <w:rFonts w:cs="Arial"/>
          <w:b/>
          <w:bCs/>
        </w:rPr>
      </w:pPr>
    </w:p>
    <w:p w14:paraId="6D2C1D91" w14:textId="77777777" w:rsidR="000051FD" w:rsidRDefault="00FE01AE" w:rsidP="00651863">
      <w:pPr>
        <w:pStyle w:val="Heading3"/>
      </w:pPr>
      <w:bookmarkStart w:id="13" w:name="_Toc195604989"/>
      <w:r w:rsidRPr="000051FD">
        <w:lastRenderedPageBreak/>
        <w:t>Application process</w:t>
      </w:r>
      <w:bookmarkEnd w:id="13"/>
    </w:p>
    <w:p w14:paraId="27BC70D3"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rPr>
        <w:t>Students are encouraged to apply for Dual Career Athlete status prior to or early in the academic year. There is no deadline to apply.</w:t>
      </w:r>
    </w:p>
    <w:p w14:paraId="60C8B6CF"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rPr>
        <w:t>Applications are reviewed by the Athlete Lifestyle &amp; Education Manager and a decision made within 20 working days and the outcome communicated by email.</w:t>
      </w:r>
    </w:p>
    <w:p w14:paraId="25BF8FBE" w14:textId="185F12AF" w:rsidR="000051FD" w:rsidRPr="000051FD" w:rsidRDefault="00FE01AE" w:rsidP="000051FD">
      <w:pPr>
        <w:pStyle w:val="ListParagraph"/>
        <w:numPr>
          <w:ilvl w:val="3"/>
          <w:numId w:val="40"/>
        </w:numPr>
        <w:spacing w:line="276" w:lineRule="auto"/>
        <w:jc w:val="both"/>
        <w:rPr>
          <w:rFonts w:cs="Arial"/>
          <w:b/>
          <w:bCs/>
        </w:rPr>
      </w:pPr>
      <w:r w:rsidRPr="000051FD">
        <w:rPr>
          <w:rFonts w:cs="Arial"/>
        </w:rPr>
        <w:t>A list of nominated Dual Career Athlete</w:t>
      </w:r>
      <w:r w:rsidR="00F7314C">
        <w:rPr>
          <w:rFonts w:cs="Arial"/>
        </w:rPr>
        <w:t>s</w:t>
      </w:r>
      <w:r w:rsidRPr="000051FD">
        <w:rPr>
          <w:rFonts w:cs="Arial"/>
        </w:rPr>
        <w:t xml:space="preserve"> will be maintained and share</w:t>
      </w:r>
      <w:r w:rsidR="00F7314C">
        <w:rPr>
          <w:rFonts w:cs="Arial"/>
        </w:rPr>
        <w:t>d</w:t>
      </w:r>
      <w:r w:rsidRPr="000051FD">
        <w:rPr>
          <w:rFonts w:cs="Arial"/>
        </w:rPr>
        <w:t xml:space="preserve"> with athletes and nominated school contacts throughout each academic year.</w:t>
      </w:r>
    </w:p>
    <w:p w14:paraId="1FF5A7E4"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shd w:val="clear" w:color="auto" w:fill="FEFFFE"/>
        </w:rPr>
        <w:t>Students rejected for Tier 1 Dual Career Athlete status can still utilise Tier 2 support if eligible.</w:t>
      </w:r>
    </w:p>
    <w:p w14:paraId="7F2CB0C3" w14:textId="77777777" w:rsidR="000051FD" w:rsidRPr="000051FD" w:rsidRDefault="000051FD" w:rsidP="000051FD">
      <w:pPr>
        <w:pStyle w:val="ListParagraph"/>
        <w:spacing w:line="276" w:lineRule="auto"/>
        <w:ind w:left="1728"/>
        <w:jc w:val="both"/>
        <w:rPr>
          <w:rFonts w:cs="Arial"/>
          <w:b/>
          <w:bCs/>
        </w:rPr>
      </w:pPr>
    </w:p>
    <w:p w14:paraId="47C93AF2" w14:textId="77777777" w:rsidR="000051FD" w:rsidRDefault="00FE01AE" w:rsidP="00651863">
      <w:pPr>
        <w:pStyle w:val="Heading3"/>
      </w:pPr>
      <w:bookmarkStart w:id="14" w:name="_Toc195604990"/>
      <w:r w:rsidRPr="000051FD">
        <w:t>Academic Concessions</w:t>
      </w:r>
      <w:bookmarkEnd w:id="14"/>
    </w:p>
    <w:p w14:paraId="1CF2B4BB"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rPr>
        <w:t xml:space="preserve">Primary support for Dual Career Athletes will be through an agreed and consistent approach to the support of academic workload across CMU.  </w:t>
      </w:r>
    </w:p>
    <w:p w14:paraId="3032987F"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rPr>
        <w:t xml:space="preserve">The management of academic concessions will vary and will, for example, use either alternative assessments and/or coursework extensions.  </w:t>
      </w:r>
    </w:p>
    <w:p w14:paraId="52B2C137" w14:textId="77777777" w:rsidR="000051FD" w:rsidRPr="000051FD" w:rsidRDefault="00FE01AE" w:rsidP="000051FD">
      <w:pPr>
        <w:pStyle w:val="ListParagraph"/>
        <w:numPr>
          <w:ilvl w:val="3"/>
          <w:numId w:val="40"/>
        </w:numPr>
        <w:spacing w:line="276" w:lineRule="auto"/>
        <w:jc w:val="both"/>
        <w:rPr>
          <w:rFonts w:cs="Arial"/>
          <w:b/>
          <w:bCs/>
        </w:rPr>
      </w:pPr>
      <w:r w:rsidRPr="000051FD">
        <w:rPr>
          <w:rFonts w:cs="Arial"/>
        </w:rPr>
        <w:t>This will be within University regulations and negotiated between the student athlete and their Programme Director or nominated programme representative in the first instance and if required, agreed with the School Dean or their representative.</w:t>
      </w:r>
    </w:p>
    <w:p w14:paraId="01BFB7C1" w14:textId="5130A83B" w:rsidR="00FE01AE" w:rsidRPr="000051FD" w:rsidRDefault="00FE01AE" w:rsidP="000051FD">
      <w:pPr>
        <w:pStyle w:val="ListParagraph"/>
        <w:numPr>
          <w:ilvl w:val="3"/>
          <w:numId w:val="40"/>
        </w:numPr>
        <w:spacing w:line="276" w:lineRule="auto"/>
        <w:jc w:val="both"/>
        <w:rPr>
          <w:rFonts w:cs="Arial"/>
          <w:b/>
          <w:bCs/>
        </w:rPr>
      </w:pPr>
      <w:r w:rsidRPr="000051FD">
        <w:rPr>
          <w:rFonts w:cs="Arial"/>
        </w:rPr>
        <w:t xml:space="preserve">Examples of academic concession options are listed below: </w:t>
      </w:r>
    </w:p>
    <w:p w14:paraId="32F91EDC" w14:textId="77777777" w:rsidR="00FE01AE" w:rsidRPr="00880E52" w:rsidRDefault="00FE01AE" w:rsidP="00FE01AE">
      <w:pPr>
        <w:pStyle w:val="ListParagraph"/>
        <w:numPr>
          <w:ilvl w:val="2"/>
          <w:numId w:val="37"/>
        </w:numPr>
        <w:spacing w:after="0" w:line="276" w:lineRule="auto"/>
        <w:jc w:val="both"/>
        <w:rPr>
          <w:rFonts w:cs="Arial"/>
        </w:rPr>
      </w:pPr>
      <w:r w:rsidRPr="00880E52">
        <w:rPr>
          <w:rFonts w:cs="Arial"/>
        </w:rPr>
        <w:t>Late submission up to and beyond 20 working days</w:t>
      </w:r>
    </w:p>
    <w:p w14:paraId="1A21BD29" w14:textId="77777777" w:rsidR="00FE01AE" w:rsidRPr="00880E52" w:rsidRDefault="00FE01AE" w:rsidP="00FE01AE">
      <w:pPr>
        <w:pStyle w:val="ListParagraph"/>
        <w:numPr>
          <w:ilvl w:val="2"/>
          <w:numId w:val="37"/>
        </w:numPr>
        <w:spacing w:after="0" w:line="276" w:lineRule="auto"/>
        <w:jc w:val="both"/>
        <w:rPr>
          <w:rFonts w:cs="Arial"/>
        </w:rPr>
      </w:pPr>
      <w:r w:rsidRPr="00880E52">
        <w:rPr>
          <w:rFonts w:cs="Arial"/>
        </w:rPr>
        <w:t>Non-submission (with work submitted as 1st attempt after next Exam Boards)</w:t>
      </w:r>
    </w:p>
    <w:p w14:paraId="1B629335" w14:textId="77777777" w:rsidR="00FE01AE" w:rsidRPr="00880E52" w:rsidRDefault="00FE01AE" w:rsidP="00FE01AE">
      <w:pPr>
        <w:pStyle w:val="ListParagraph"/>
        <w:numPr>
          <w:ilvl w:val="2"/>
          <w:numId w:val="37"/>
        </w:numPr>
        <w:spacing w:after="0" w:line="276" w:lineRule="auto"/>
        <w:jc w:val="both"/>
        <w:rPr>
          <w:rFonts w:cs="Arial"/>
        </w:rPr>
      </w:pPr>
      <w:r w:rsidRPr="00880E52">
        <w:rPr>
          <w:rFonts w:cs="Arial"/>
        </w:rPr>
        <w:t>Alternative assessment formats (i.e. changing EXAM to WRIT, live PRES to pre-recorded PRES etc) where appropriate to learning outcomes</w:t>
      </w:r>
    </w:p>
    <w:p w14:paraId="2FB60C68" w14:textId="77777777" w:rsidR="00FE01AE" w:rsidRPr="00880E52" w:rsidRDefault="00FE01AE" w:rsidP="00FE01AE">
      <w:pPr>
        <w:pStyle w:val="ListParagraph"/>
        <w:numPr>
          <w:ilvl w:val="2"/>
          <w:numId w:val="37"/>
        </w:numPr>
        <w:spacing w:after="0" w:line="276" w:lineRule="auto"/>
        <w:jc w:val="both"/>
        <w:rPr>
          <w:rFonts w:cs="Arial"/>
        </w:rPr>
      </w:pPr>
      <w:r w:rsidRPr="00880E52">
        <w:rPr>
          <w:rFonts w:cs="Arial"/>
        </w:rPr>
        <w:t>Extensions to candidature</w:t>
      </w:r>
    </w:p>
    <w:p w14:paraId="7A6B8AB6" w14:textId="69AD2AC8" w:rsidR="00FE01AE" w:rsidRDefault="00FE01AE" w:rsidP="006F1535">
      <w:pPr>
        <w:pStyle w:val="ListParagraph"/>
        <w:numPr>
          <w:ilvl w:val="2"/>
          <w:numId w:val="37"/>
        </w:numPr>
        <w:spacing w:after="0" w:line="276" w:lineRule="auto"/>
        <w:jc w:val="both"/>
        <w:rPr>
          <w:rFonts w:cs="Arial"/>
        </w:rPr>
      </w:pPr>
      <w:r w:rsidRPr="00880E52">
        <w:rPr>
          <w:rFonts w:cs="Arial"/>
        </w:rPr>
        <w:t>Flexible online study to offer alternatives to campus-based learning where possible.</w:t>
      </w:r>
    </w:p>
    <w:p w14:paraId="7EE2DA80" w14:textId="77777777" w:rsidR="006F1535" w:rsidRPr="006F1535" w:rsidRDefault="006F1535" w:rsidP="006F1535">
      <w:pPr>
        <w:pStyle w:val="ListParagraph"/>
        <w:spacing w:after="0" w:line="276" w:lineRule="auto"/>
        <w:ind w:left="2160"/>
        <w:jc w:val="both"/>
        <w:rPr>
          <w:rFonts w:cs="Arial"/>
        </w:rPr>
      </w:pPr>
    </w:p>
    <w:p w14:paraId="62210366" w14:textId="7C4600EC" w:rsidR="000051FD" w:rsidRPr="005373FD" w:rsidRDefault="00FE01AE" w:rsidP="005373FD">
      <w:pPr>
        <w:pStyle w:val="Heading2"/>
      </w:pPr>
      <w:bookmarkStart w:id="15" w:name="_Toc195604991"/>
      <w:r w:rsidRPr="000051FD">
        <w:t>Tier 2: Performance Sport Concession</w:t>
      </w:r>
      <w:bookmarkEnd w:id="15"/>
    </w:p>
    <w:p w14:paraId="259DE909" w14:textId="77777777" w:rsidR="000051FD" w:rsidRDefault="00FE01AE" w:rsidP="00651863">
      <w:pPr>
        <w:pStyle w:val="Heading3"/>
      </w:pPr>
      <w:bookmarkStart w:id="16" w:name="_Toc195604992"/>
      <w:r w:rsidRPr="000051FD">
        <w:t>Eligibility</w:t>
      </w:r>
      <w:bookmarkEnd w:id="16"/>
    </w:p>
    <w:p w14:paraId="356CE243" w14:textId="4246033C" w:rsidR="000051FD" w:rsidRPr="000051FD" w:rsidRDefault="00FE01AE" w:rsidP="000051FD">
      <w:pPr>
        <w:pStyle w:val="ListParagraph"/>
        <w:numPr>
          <w:ilvl w:val="3"/>
          <w:numId w:val="40"/>
        </w:numPr>
        <w:spacing w:after="0" w:line="276" w:lineRule="auto"/>
        <w:jc w:val="both"/>
        <w:rPr>
          <w:rFonts w:cs="Arial"/>
          <w:b/>
          <w:bCs/>
        </w:rPr>
      </w:pPr>
      <w:r w:rsidRPr="000051FD">
        <w:rPr>
          <w:rFonts w:cs="Arial"/>
        </w:rPr>
        <w:t>To be eligible for support the performance sport commitment must meet at least one of the following</w:t>
      </w:r>
      <w:r w:rsidR="00FF5215">
        <w:rPr>
          <w:rFonts w:cs="Arial"/>
        </w:rPr>
        <w:t>:</w:t>
      </w:r>
    </w:p>
    <w:p w14:paraId="06B0528E" w14:textId="77777777" w:rsidR="000051FD" w:rsidRPr="000051FD" w:rsidRDefault="00FE01AE" w:rsidP="000051FD">
      <w:pPr>
        <w:pStyle w:val="ListParagraph"/>
        <w:numPr>
          <w:ilvl w:val="0"/>
          <w:numId w:val="44"/>
        </w:numPr>
        <w:spacing w:after="0" w:line="276" w:lineRule="auto"/>
        <w:jc w:val="both"/>
        <w:rPr>
          <w:rFonts w:cs="Arial"/>
          <w:b/>
          <w:bCs/>
        </w:rPr>
      </w:pPr>
      <w:r w:rsidRPr="000051FD">
        <w:rPr>
          <w:rFonts w:cs="Arial"/>
          <w:iCs/>
          <w:shd w:val="clear" w:color="auto" w:fill="FEFFFE"/>
        </w:rPr>
        <w:t>Recognised as part of their sport’s performance pathway or equivalent.</w:t>
      </w:r>
    </w:p>
    <w:p w14:paraId="03761326" w14:textId="77777777" w:rsidR="000051FD" w:rsidRPr="000051FD" w:rsidRDefault="000051FD" w:rsidP="000051FD">
      <w:pPr>
        <w:pStyle w:val="ListParagraph"/>
        <w:numPr>
          <w:ilvl w:val="0"/>
          <w:numId w:val="44"/>
        </w:numPr>
        <w:spacing w:after="0" w:line="276" w:lineRule="auto"/>
        <w:jc w:val="both"/>
        <w:rPr>
          <w:rFonts w:cs="Arial"/>
          <w:b/>
          <w:bCs/>
        </w:rPr>
      </w:pPr>
      <w:r>
        <w:rPr>
          <w:rFonts w:cs="Arial"/>
          <w:iCs/>
          <w:shd w:val="clear" w:color="auto" w:fill="FEFFFE"/>
        </w:rPr>
        <w:lastRenderedPageBreak/>
        <w:t xml:space="preserve">Part </w:t>
      </w:r>
      <w:r w:rsidR="00FE01AE" w:rsidRPr="000051FD">
        <w:rPr>
          <w:rFonts w:cs="Arial"/>
          <w:iCs/>
          <w:shd w:val="clear" w:color="auto" w:fill="FEFFFE"/>
        </w:rPr>
        <w:t>of a qualification or selection process for national or international selection at university, age-group or senior level.</w:t>
      </w:r>
    </w:p>
    <w:p w14:paraId="7B2F7FD1" w14:textId="77777777" w:rsidR="000051FD" w:rsidRPr="000051FD" w:rsidRDefault="00FE01AE" w:rsidP="000051FD">
      <w:pPr>
        <w:pStyle w:val="ListParagraph"/>
        <w:numPr>
          <w:ilvl w:val="0"/>
          <w:numId w:val="44"/>
        </w:numPr>
        <w:spacing w:after="0" w:line="276" w:lineRule="auto"/>
        <w:jc w:val="both"/>
        <w:rPr>
          <w:rFonts w:cs="Arial"/>
          <w:b/>
          <w:bCs/>
        </w:rPr>
      </w:pPr>
      <w:r w:rsidRPr="000051FD">
        <w:rPr>
          <w:rFonts w:cs="Arial"/>
          <w:shd w:val="clear" w:color="auto" w:fill="FEFFFE"/>
        </w:rPr>
        <w:t>A competition or fixture recognised as part of the international competition structure for their sport at university, age-group or senior level.</w:t>
      </w:r>
    </w:p>
    <w:p w14:paraId="6F9A3A74" w14:textId="4360FF50" w:rsidR="00FE01AE" w:rsidRPr="000051FD" w:rsidRDefault="00FE01AE" w:rsidP="000051FD">
      <w:pPr>
        <w:pStyle w:val="ListParagraph"/>
        <w:numPr>
          <w:ilvl w:val="0"/>
          <w:numId w:val="44"/>
        </w:numPr>
        <w:spacing w:after="0" w:line="276" w:lineRule="auto"/>
        <w:jc w:val="both"/>
        <w:rPr>
          <w:rFonts w:cs="Arial"/>
          <w:b/>
          <w:bCs/>
        </w:rPr>
      </w:pPr>
      <w:r w:rsidRPr="000051FD">
        <w:rPr>
          <w:rFonts w:cs="Arial"/>
        </w:rPr>
        <w:t>A competition or fixture that represents a primary competition focus of our performance programmes. As guidance, this would ordinarily include national BUCS competition and national league competition.</w:t>
      </w:r>
    </w:p>
    <w:p w14:paraId="71048CE4" w14:textId="77777777" w:rsidR="000051FD" w:rsidRDefault="00FE01AE" w:rsidP="000051FD">
      <w:pPr>
        <w:pStyle w:val="ListParagraph"/>
        <w:numPr>
          <w:ilvl w:val="3"/>
          <w:numId w:val="40"/>
        </w:numPr>
        <w:spacing w:after="0" w:line="276" w:lineRule="auto"/>
        <w:jc w:val="both"/>
        <w:rPr>
          <w:rFonts w:cs="Arial"/>
        </w:rPr>
      </w:pPr>
      <w:r w:rsidRPr="000051FD">
        <w:rPr>
          <w:rFonts w:cs="Arial"/>
        </w:rPr>
        <w:t>There must be a direct time conflict between the performance sport commitment, and associated travel commitments, and an assessment that requires attendance at a specific date/time (I.e., practical, exam, presentation).</w:t>
      </w:r>
    </w:p>
    <w:p w14:paraId="2091F11C" w14:textId="77777777" w:rsidR="000051FD" w:rsidRPr="000051FD" w:rsidRDefault="00FE01AE" w:rsidP="000051FD">
      <w:pPr>
        <w:pStyle w:val="ListParagraph"/>
        <w:numPr>
          <w:ilvl w:val="3"/>
          <w:numId w:val="40"/>
        </w:numPr>
        <w:spacing w:after="0" w:line="276" w:lineRule="auto"/>
        <w:jc w:val="both"/>
        <w:rPr>
          <w:rFonts w:cs="Arial"/>
        </w:rPr>
      </w:pPr>
      <w:r w:rsidRPr="000051FD">
        <w:rPr>
          <w:rFonts w:cs="Arial"/>
          <w:shd w:val="clear" w:color="auto" w:fill="FEFFFE"/>
        </w:rPr>
        <w:t xml:space="preserve">All criteria will be applied appropriately to the relevant sport. In exceptional circumstances, the </w:t>
      </w:r>
      <w:r w:rsidRPr="000051FD">
        <w:rPr>
          <w:rFonts w:cs="Arial"/>
        </w:rPr>
        <w:t>Athlete Lifestyle &amp; Education Manager</w:t>
      </w:r>
      <w:r w:rsidRPr="000051FD">
        <w:rPr>
          <w:rFonts w:cs="Arial"/>
          <w:shd w:val="clear" w:color="auto" w:fill="FEFFFE"/>
        </w:rPr>
        <w:t xml:space="preserve"> will have the discretion based on a formal application to recommend a student for an academic concession outside of the above parameters and only with support of the Director of Sport.</w:t>
      </w:r>
    </w:p>
    <w:p w14:paraId="1370D47B" w14:textId="77777777" w:rsidR="000051FD" w:rsidRPr="000051FD" w:rsidRDefault="000051FD" w:rsidP="000051FD">
      <w:pPr>
        <w:pStyle w:val="ListParagraph"/>
        <w:spacing w:after="0" w:line="276" w:lineRule="auto"/>
        <w:ind w:left="1224"/>
        <w:jc w:val="both"/>
        <w:rPr>
          <w:rFonts w:cs="Arial"/>
        </w:rPr>
      </w:pPr>
    </w:p>
    <w:p w14:paraId="3FC87F70" w14:textId="77777777" w:rsidR="000051FD" w:rsidRPr="000051FD" w:rsidRDefault="00FE01AE" w:rsidP="00651863">
      <w:pPr>
        <w:pStyle w:val="Heading3"/>
      </w:pPr>
      <w:bookmarkStart w:id="17" w:name="_Toc195604993"/>
      <w:r w:rsidRPr="000051FD">
        <w:t>Application process</w:t>
      </w:r>
      <w:bookmarkEnd w:id="17"/>
    </w:p>
    <w:p w14:paraId="7269CE64" w14:textId="77777777" w:rsidR="000051FD" w:rsidRDefault="00FE01AE" w:rsidP="000051FD">
      <w:pPr>
        <w:pStyle w:val="ListParagraph"/>
        <w:numPr>
          <w:ilvl w:val="3"/>
          <w:numId w:val="40"/>
        </w:numPr>
        <w:spacing w:after="0" w:line="276" w:lineRule="auto"/>
        <w:jc w:val="both"/>
        <w:rPr>
          <w:rFonts w:cs="Arial"/>
        </w:rPr>
      </w:pPr>
      <w:r w:rsidRPr="000051FD">
        <w:rPr>
          <w:rFonts w:cs="Arial"/>
        </w:rPr>
        <w:t>Applications should be submitted as soon as the student becomes aware of the potential conflict between their performance sport commitment and assessment.</w:t>
      </w:r>
    </w:p>
    <w:p w14:paraId="430A97BD" w14:textId="216C9554" w:rsidR="000051FD" w:rsidRDefault="00FE01AE" w:rsidP="000051FD">
      <w:pPr>
        <w:pStyle w:val="ListParagraph"/>
        <w:numPr>
          <w:ilvl w:val="3"/>
          <w:numId w:val="40"/>
        </w:numPr>
        <w:spacing w:after="0" w:line="276" w:lineRule="auto"/>
        <w:jc w:val="both"/>
        <w:rPr>
          <w:rFonts w:cs="Arial"/>
        </w:rPr>
      </w:pPr>
      <w:r w:rsidRPr="000051FD">
        <w:rPr>
          <w:rFonts w:cs="Arial"/>
        </w:rPr>
        <w:t>Applications will be reviewed by the Athlete Lifestyle &amp; Education Manager who will recommend or not recommend an academic concession based purely on the sporting criteria. The application will then be passed to the academic school</w:t>
      </w:r>
      <w:r w:rsidR="00E112DB">
        <w:rPr>
          <w:rFonts w:cs="Arial"/>
        </w:rPr>
        <w:t>s</w:t>
      </w:r>
      <w:r w:rsidRPr="000051FD">
        <w:rPr>
          <w:rFonts w:cs="Arial"/>
        </w:rPr>
        <w:t xml:space="preserve"> to determine whether an academic concession can be granted or not. The process will be concluded within 10 working days and the outcome communicated </w:t>
      </w:r>
      <w:r w:rsidR="00880E52" w:rsidRPr="000051FD">
        <w:rPr>
          <w:rFonts w:cs="Arial"/>
        </w:rPr>
        <w:t>to the student and academic staff.</w:t>
      </w:r>
    </w:p>
    <w:p w14:paraId="220ED66C" w14:textId="77777777" w:rsidR="000051FD" w:rsidRDefault="00FE01AE" w:rsidP="000051FD">
      <w:pPr>
        <w:pStyle w:val="ListParagraph"/>
        <w:numPr>
          <w:ilvl w:val="3"/>
          <w:numId w:val="40"/>
        </w:numPr>
        <w:spacing w:after="0" w:line="276" w:lineRule="auto"/>
        <w:jc w:val="both"/>
        <w:rPr>
          <w:rFonts w:cs="Arial"/>
        </w:rPr>
      </w:pPr>
      <w:r w:rsidRPr="000051FD">
        <w:rPr>
          <w:rFonts w:cs="Arial"/>
        </w:rPr>
        <w:t>As part of reviewing the application it will be identified if the performance sport commitment creates a need for the student to be considered for Dual Career Athlete status in the future.</w:t>
      </w:r>
    </w:p>
    <w:p w14:paraId="71D6166F" w14:textId="0CE085C4" w:rsidR="000051FD" w:rsidRDefault="00FE01AE" w:rsidP="000051FD">
      <w:pPr>
        <w:pStyle w:val="ListParagraph"/>
        <w:numPr>
          <w:ilvl w:val="3"/>
          <w:numId w:val="40"/>
        </w:numPr>
        <w:spacing w:after="0" w:line="276" w:lineRule="auto"/>
        <w:jc w:val="both"/>
        <w:rPr>
          <w:rFonts w:cs="Arial"/>
        </w:rPr>
      </w:pPr>
      <w:r w:rsidRPr="000051FD">
        <w:rPr>
          <w:rFonts w:cs="Arial"/>
        </w:rPr>
        <w:t xml:space="preserve">The timelines for applications are dependent on the academic concession required. </w:t>
      </w:r>
      <w:r w:rsidRPr="0042480E">
        <w:rPr>
          <w:rFonts w:cs="Arial"/>
        </w:rPr>
        <w:t xml:space="preserve">See </w:t>
      </w:r>
      <w:r w:rsidR="0042480E" w:rsidRPr="0042480E">
        <w:rPr>
          <w:rFonts w:cs="Arial"/>
        </w:rPr>
        <w:t>4.2.3.</w:t>
      </w:r>
    </w:p>
    <w:p w14:paraId="33F5B069" w14:textId="77777777" w:rsidR="000051FD" w:rsidRDefault="000051FD" w:rsidP="000051FD">
      <w:pPr>
        <w:pStyle w:val="ListParagraph"/>
        <w:spacing w:after="0" w:line="276" w:lineRule="auto"/>
        <w:ind w:left="1728"/>
        <w:jc w:val="both"/>
        <w:rPr>
          <w:rFonts w:cs="Arial"/>
        </w:rPr>
      </w:pPr>
    </w:p>
    <w:p w14:paraId="4D2B300E" w14:textId="77777777" w:rsidR="000051FD" w:rsidRPr="000051FD" w:rsidRDefault="00FE01AE" w:rsidP="00651863">
      <w:pPr>
        <w:pStyle w:val="Heading3"/>
      </w:pPr>
      <w:bookmarkStart w:id="18" w:name="_Toc195604994"/>
      <w:r w:rsidRPr="000051FD">
        <w:t>Academic Concession</w:t>
      </w:r>
      <w:bookmarkEnd w:id="18"/>
    </w:p>
    <w:p w14:paraId="520773ED" w14:textId="77777777" w:rsidR="000051FD" w:rsidRDefault="00FE01AE" w:rsidP="000051FD">
      <w:pPr>
        <w:pStyle w:val="ListParagraph"/>
        <w:numPr>
          <w:ilvl w:val="3"/>
          <w:numId w:val="40"/>
        </w:numPr>
        <w:spacing w:after="0" w:line="276" w:lineRule="auto"/>
        <w:jc w:val="both"/>
        <w:rPr>
          <w:rFonts w:cs="Arial"/>
        </w:rPr>
      </w:pPr>
      <w:r w:rsidRPr="000051FD">
        <w:rPr>
          <w:rFonts w:cs="Arial"/>
        </w:rPr>
        <w:t>Academic concessions should be applied to specific assessments that relate to the identified period of absence due to the performance sport commitment.</w:t>
      </w:r>
    </w:p>
    <w:p w14:paraId="259FF4CF" w14:textId="77777777" w:rsidR="006A2D59" w:rsidRDefault="00FE01AE" w:rsidP="006A2D59">
      <w:pPr>
        <w:pStyle w:val="ListParagraph"/>
        <w:numPr>
          <w:ilvl w:val="3"/>
          <w:numId w:val="40"/>
        </w:numPr>
        <w:spacing w:after="0" w:line="276" w:lineRule="auto"/>
        <w:jc w:val="both"/>
        <w:rPr>
          <w:rFonts w:cs="Arial"/>
        </w:rPr>
      </w:pPr>
      <w:r w:rsidRPr="000051FD">
        <w:rPr>
          <w:rFonts w:cs="Arial"/>
        </w:rPr>
        <w:t xml:space="preserve">Academic concessions can only be applied to assessments which are fixed in date/time and require student attendance such as </w:t>
      </w:r>
      <w:r w:rsidRPr="000051FD">
        <w:rPr>
          <w:rFonts w:cs="Arial"/>
        </w:rPr>
        <w:lastRenderedPageBreak/>
        <w:t>practical, exams, presentations etc. Such concessions may include granting of a late submission (up to 20 working days where possible) or approval for a non-attempt (with a retake of the assessment as if a first attempt after the next exam board).</w:t>
      </w:r>
    </w:p>
    <w:p w14:paraId="7D4EBC56" w14:textId="77777777" w:rsidR="006A2D59" w:rsidRDefault="00FE01AE" w:rsidP="006A2D59">
      <w:pPr>
        <w:pStyle w:val="ListParagraph"/>
        <w:numPr>
          <w:ilvl w:val="3"/>
          <w:numId w:val="40"/>
        </w:numPr>
        <w:spacing w:after="0" w:line="276" w:lineRule="auto"/>
        <w:jc w:val="both"/>
        <w:rPr>
          <w:rFonts w:cs="Arial"/>
        </w:rPr>
      </w:pPr>
      <w:r w:rsidRPr="006A2D59">
        <w:rPr>
          <w:rFonts w:cs="Arial"/>
        </w:rPr>
        <w:t>Applications for Late Submission must be within 20 working days before the assessment date and not after the submission date/time.</w:t>
      </w:r>
    </w:p>
    <w:p w14:paraId="1FD70B78" w14:textId="77777777" w:rsidR="006A2D59" w:rsidRDefault="00FE01AE" w:rsidP="006A2D59">
      <w:pPr>
        <w:pStyle w:val="ListParagraph"/>
        <w:numPr>
          <w:ilvl w:val="3"/>
          <w:numId w:val="40"/>
        </w:numPr>
        <w:spacing w:after="0" w:line="276" w:lineRule="auto"/>
        <w:jc w:val="both"/>
        <w:rPr>
          <w:rFonts w:cs="Arial"/>
        </w:rPr>
      </w:pPr>
      <w:r w:rsidRPr="006A2D59">
        <w:rPr>
          <w:rFonts w:cs="Arial"/>
        </w:rPr>
        <w:t>Applications for Non-Attempt must be within the window of 20 working days before and 20 days after the submission date/time. Applications will not be accepted more than 20 working days after the deadline, and students should refer to the Appeals procedure.</w:t>
      </w:r>
    </w:p>
    <w:p w14:paraId="57847F8D" w14:textId="77777777" w:rsidR="006A2D59" w:rsidRDefault="00FE01AE" w:rsidP="006A2D59">
      <w:pPr>
        <w:pStyle w:val="ListParagraph"/>
        <w:numPr>
          <w:ilvl w:val="3"/>
          <w:numId w:val="40"/>
        </w:numPr>
        <w:spacing w:after="0" w:line="276" w:lineRule="auto"/>
        <w:jc w:val="both"/>
        <w:rPr>
          <w:rFonts w:cs="Arial"/>
        </w:rPr>
      </w:pPr>
      <w:r w:rsidRPr="006A2D59">
        <w:rPr>
          <w:rFonts w:cs="Arial"/>
        </w:rPr>
        <w:t>Academic concessions should not be applied to assessments such as coursework whereby attendance is not required at a specific date and there is the opportunity to submit via Moodle at any point prior to final submission deadline.</w:t>
      </w:r>
    </w:p>
    <w:p w14:paraId="0F7142C4" w14:textId="77777777" w:rsidR="006A2D59" w:rsidRDefault="006A2D59" w:rsidP="006A2D59">
      <w:pPr>
        <w:pStyle w:val="ListParagraph"/>
        <w:spacing w:after="0" w:line="276" w:lineRule="auto"/>
        <w:ind w:left="1728"/>
        <w:jc w:val="both"/>
        <w:rPr>
          <w:rFonts w:cs="Arial"/>
        </w:rPr>
      </w:pPr>
    </w:p>
    <w:p w14:paraId="46777E07" w14:textId="77777777" w:rsidR="006A2D59" w:rsidRPr="006A2D59" w:rsidRDefault="00FE01AE" w:rsidP="00651863">
      <w:pPr>
        <w:pStyle w:val="Heading3"/>
      </w:pPr>
      <w:bookmarkStart w:id="19" w:name="_Toc195604995"/>
      <w:r w:rsidRPr="006A2D59">
        <w:t>Appeals</w:t>
      </w:r>
      <w:bookmarkEnd w:id="19"/>
    </w:p>
    <w:p w14:paraId="06AB8601" w14:textId="77777777" w:rsidR="006A2D59" w:rsidRDefault="00FE01AE" w:rsidP="00E85F62">
      <w:pPr>
        <w:pStyle w:val="ListParagraph"/>
        <w:numPr>
          <w:ilvl w:val="3"/>
          <w:numId w:val="40"/>
        </w:numPr>
        <w:spacing w:after="0" w:line="276" w:lineRule="auto"/>
        <w:jc w:val="both"/>
        <w:rPr>
          <w:rFonts w:cs="Arial"/>
        </w:rPr>
      </w:pPr>
      <w:r w:rsidRPr="006A2D59">
        <w:rPr>
          <w:rFonts w:cs="Arial"/>
        </w:rPr>
        <w:t>Students are entitled to request a review of the decision to ensure that appropriate procedures were followed, and that the decision made was reasonable.</w:t>
      </w:r>
    </w:p>
    <w:p w14:paraId="3135CB60" w14:textId="77777777" w:rsidR="006A2D59" w:rsidRDefault="00FE01AE" w:rsidP="00E85F62">
      <w:pPr>
        <w:pStyle w:val="ListParagraph"/>
        <w:numPr>
          <w:ilvl w:val="3"/>
          <w:numId w:val="40"/>
        </w:numPr>
        <w:spacing w:after="0" w:line="276" w:lineRule="auto"/>
        <w:jc w:val="both"/>
        <w:rPr>
          <w:rFonts w:cs="Arial"/>
        </w:rPr>
      </w:pPr>
      <w:r w:rsidRPr="006A2D59">
        <w:rPr>
          <w:rFonts w:cs="Arial"/>
        </w:rPr>
        <w:t>Any requests for an appeal must be submitted to the Director of Sport no later than 10 working</w:t>
      </w:r>
      <w:r w:rsidRPr="00880E52">
        <w:rPr>
          <w:rStyle w:val="CommentReference"/>
        </w:rPr>
        <w:t xml:space="preserve"> </w:t>
      </w:r>
      <w:r w:rsidRPr="006A2D59">
        <w:rPr>
          <w:rFonts w:cs="Arial"/>
        </w:rPr>
        <w:t>days from the date of the notification. Applications submitted outside this timescale will not be accepted.</w:t>
      </w:r>
    </w:p>
    <w:p w14:paraId="559B5CCA" w14:textId="77777777" w:rsidR="006A2D59" w:rsidRDefault="00FE01AE" w:rsidP="00E85F62">
      <w:pPr>
        <w:pStyle w:val="ListParagraph"/>
        <w:numPr>
          <w:ilvl w:val="3"/>
          <w:numId w:val="40"/>
        </w:numPr>
        <w:spacing w:after="0" w:line="276" w:lineRule="auto"/>
        <w:jc w:val="both"/>
        <w:rPr>
          <w:rFonts w:cs="Arial"/>
        </w:rPr>
      </w:pPr>
      <w:r w:rsidRPr="006A2D59">
        <w:rPr>
          <w:rFonts w:cs="Arial"/>
        </w:rPr>
        <w:t xml:space="preserve">Appeals may only be submitted which are based on one or both of the following grounds: </w:t>
      </w:r>
    </w:p>
    <w:p w14:paraId="145B79F0" w14:textId="77777777" w:rsidR="00E77516" w:rsidRDefault="00FE01AE" w:rsidP="00E77516">
      <w:pPr>
        <w:pStyle w:val="ListParagraph"/>
        <w:numPr>
          <w:ilvl w:val="0"/>
          <w:numId w:val="47"/>
        </w:numPr>
        <w:spacing w:after="0" w:line="276" w:lineRule="auto"/>
        <w:jc w:val="both"/>
        <w:rPr>
          <w:rFonts w:cs="Arial"/>
        </w:rPr>
      </w:pPr>
      <w:r w:rsidRPr="00E77516">
        <w:rPr>
          <w:rFonts w:cs="Arial"/>
        </w:rPr>
        <w:t xml:space="preserve">There is new and relevant evidence, which for good reason was not available at the time of application for Tier 1 or Tier 2 support. Students must show that the evidence was not accessible or known to them at the time of the original submission. </w:t>
      </w:r>
    </w:p>
    <w:p w14:paraId="49BE29C0" w14:textId="04E9B1ED" w:rsidR="006A2D59" w:rsidRPr="00E77516" w:rsidRDefault="00FE01AE" w:rsidP="00E77516">
      <w:pPr>
        <w:pStyle w:val="ListParagraph"/>
        <w:numPr>
          <w:ilvl w:val="0"/>
          <w:numId w:val="47"/>
        </w:numPr>
        <w:spacing w:after="0" w:line="276" w:lineRule="auto"/>
        <w:jc w:val="both"/>
        <w:rPr>
          <w:rFonts w:cs="Arial"/>
        </w:rPr>
      </w:pPr>
      <w:r w:rsidRPr="00E77516">
        <w:rPr>
          <w:rFonts w:cs="Arial"/>
        </w:rPr>
        <w:t>Irregularities in the conduct of this policy during the consideration of the application, which causes reasonable doubt whether the same decision would have been reached had they not occurred.</w:t>
      </w:r>
      <w:bookmarkStart w:id="20" w:name="_Toc94278272"/>
    </w:p>
    <w:p w14:paraId="2354A3AE" w14:textId="77777777" w:rsidR="006A2D59" w:rsidRDefault="006A2D59" w:rsidP="006A2D59">
      <w:pPr>
        <w:pStyle w:val="ListParagraph"/>
        <w:spacing w:after="0" w:line="276" w:lineRule="auto"/>
        <w:ind w:left="1728"/>
        <w:jc w:val="both"/>
        <w:rPr>
          <w:rFonts w:cs="Arial"/>
        </w:rPr>
      </w:pPr>
    </w:p>
    <w:p w14:paraId="0F99A629" w14:textId="77777777" w:rsidR="006A2D59" w:rsidRPr="006A2D59" w:rsidRDefault="00FE01AE" w:rsidP="00E85F62">
      <w:pPr>
        <w:pStyle w:val="Heading1"/>
      </w:pPr>
      <w:bookmarkStart w:id="21" w:name="_Toc195604996"/>
      <w:r w:rsidRPr="006A2D59">
        <w:t>Policy Review and Approval</w:t>
      </w:r>
      <w:bookmarkEnd w:id="20"/>
      <w:bookmarkEnd w:id="21"/>
    </w:p>
    <w:p w14:paraId="505130E8" w14:textId="77777777" w:rsidR="006A2D59" w:rsidRPr="00E77516" w:rsidRDefault="00FE01AE" w:rsidP="00E77516">
      <w:pPr>
        <w:spacing w:after="0" w:line="276" w:lineRule="auto"/>
        <w:jc w:val="both"/>
        <w:rPr>
          <w:rFonts w:cs="Arial"/>
        </w:rPr>
      </w:pPr>
      <w:r w:rsidRPr="00E77516">
        <w:rPr>
          <w:rFonts w:cs="Arial"/>
        </w:rPr>
        <w:t>This Policy will be reviewed at least every three years by the University’s Head of Sport System in consultation with academic colleagues and colleagues in relevant professional services.</w:t>
      </w:r>
    </w:p>
    <w:p w14:paraId="712E77E4" w14:textId="77777777" w:rsidR="00E77516" w:rsidRDefault="00E77516" w:rsidP="00E77516">
      <w:pPr>
        <w:spacing w:after="0" w:line="276" w:lineRule="auto"/>
        <w:jc w:val="both"/>
        <w:rPr>
          <w:rFonts w:cs="Arial"/>
        </w:rPr>
      </w:pPr>
    </w:p>
    <w:p w14:paraId="0389CA64" w14:textId="2FF8A6C9" w:rsidR="00FE01AE" w:rsidRPr="00E77516" w:rsidRDefault="00FE01AE" w:rsidP="00E77516">
      <w:pPr>
        <w:spacing w:after="0" w:line="276" w:lineRule="auto"/>
        <w:jc w:val="both"/>
        <w:rPr>
          <w:rFonts w:cs="Arial"/>
        </w:rPr>
      </w:pPr>
      <w:r w:rsidRPr="00E77516">
        <w:rPr>
          <w:rFonts w:cs="Arial"/>
        </w:rPr>
        <w:t>The relevant approval authority is the Learning</w:t>
      </w:r>
      <w:r w:rsidR="00FD02B1">
        <w:rPr>
          <w:rFonts w:cs="Arial"/>
        </w:rPr>
        <w:t>,</w:t>
      </w:r>
      <w:r w:rsidRPr="00E77516">
        <w:rPr>
          <w:rFonts w:cs="Arial"/>
        </w:rPr>
        <w:t xml:space="preserve"> Teaching and Student Engagement Committee.</w:t>
      </w:r>
    </w:p>
    <w:p w14:paraId="4AE6ED51" w14:textId="77777777" w:rsidR="00537AEA" w:rsidRPr="004D1FDB" w:rsidRDefault="00537AEA" w:rsidP="004D1FDB"/>
    <w:sectPr w:rsidR="00537AEA" w:rsidRPr="004D1FD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E461" w14:textId="77777777" w:rsidR="008F7604" w:rsidRDefault="008F7604" w:rsidP="005D3AB3">
      <w:pPr>
        <w:spacing w:after="0" w:line="240" w:lineRule="auto"/>
      </w:pPr>
      <w:r>
        <w:separator/>
      </w:r>
    </w:p>
    <w:p w14:paraId="32A71031" w14:textId="77777777" w:rsidR="008F7604" w:rsidRDefault="008F7604"/>
  </w:endnote>
  <w:endnote w:type="continuationSeparator" w:id="0">
    <w:p w14:paraId="79F3E252" w14:textId="77777777" w:rsidR="008F7604" w:rsidRDefault="008F7604" w:rsidP="005D3AB3">
      <w:pPr>
        <w:spacing w:after="0" w:line="240" w:lineRule="auto"/>
      </w:pPr>
      <w:r>
        <w:continuationSeparator/>
      </w:r>
    </w:p>
    <w:p w14:paraId="1C3E55C2" w14:textId="77777777" w:rsidR="008F7604" w:rsidRDefault="008F7604"/>
  </w:endnote>
  <w:endnote w:type="continuationNotice" w:id="1">
    <w:p w14:paraId="4AE5DDF3" w14:textId="77777777" w:rsidR="008F7604" w:rsidRDefault="008F7604">
      <w:pPr>
        <w:spacing w:after="0" w:line="240" w:lineRule="auto"/>
      </w:pPr>
    </w:p>
    <w:p w14:paraId="6F8082EC" w14:textId="77777777" w:rsidR="008F7604" w:rsidRDefault="008F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392859"/>
      <w:docPartObj>
        <w:docPartGallery w:val="Page Numbers (Bottom of Page)"/>
        <w:docPartUnique/>
      </w:docPartObj>
    </w:sdtPr>
    <w:sdtEndPr>
      <w:rPr>
        <w:noProof/>
      </w:rPr>
    </w:sdtEndPr>
    <w:sdtContent>
      <w:p w14:paraId="6E5C382B" w14:textId="10853DD9" w:rsidR="00D116E5" w:rsidRDefault="00D11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CF5E4" w14:textId="77777777" w:rsidR="005D3AB3" w:rsidRDefault="005D3AB3">
    <w:pPr>
      <w:pStyle w:val="Footer"/>
    </w:pPr>
  </w:p>
  <w:p w14:paraId="415C86ED" w14:textId="77777777" w:rsidR="009C6582" w:rsidRDefault="009C6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DF1B" w14:textId="77777777" w:rsidR="008F7604" w:rsidRDefault="008F7604" w:rsidP="005D3AB3">
      <w:pPr>
        <w:spacing w:after="0" w:line="240" w:lineRule="auto"/>
      </w:pPr>
      <w:r>
        <w:separator/>
      </w:r>
    </w:p>
    <w:p w14:paraId="6B5BEA4B" w14:textId="77777777" w:rsidR="008F7604" w:rsidRDefault="008F7604"/>
  </w:footnote>
  <w:footnote w:type="continuationSeparator" w:id="0">
    <w:p w14:paraId="47A7DECE" w14:textId="77777777" w:rsidR="008F7604" w:rsidRDefault="008F7604" w:rsidP="005D3AB3">
      <w:pPr>
        <w:spacing w:after="0" w:line="240" w:lineRule="auto"/>
      </w:pPr>
      <w:r>
        <w:continuationSeparator/>
      </w:r>
    </w:p>
    <w:p w14:paraId="0E1B5B4E" w14:textId="77777777" w:rsidR="008F7604" w:rsidRDefault="008F7604"/>
  </w:footnote>
  <w:footnote w:type="continuationNotice" w:id="1">
    <w:p w14:paraId="3FE9FEA0" w14:textId="77777777" w:rsidR="008F7604" w:rsidRDefault="008F7604">
      <w:pPr>
        <w:spacing w:after="0" w:line="240" w:lineRule="auto"/>
      </w:pPr>
    </w:p>
    <w:p w14:paraId="0EDA23DC" w14:textId="77777777" w:rsidR="008F7604" w:rsidRDefault="008F76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8145BB"/>
    <w:multiLevelType w:val="hybridMultilevel"/>
    <w:tmpl w:val="35B484DC"/>
    <w:lvl w:ilvl="0" w:tplc="08090005">
      <w:start w:val="1"/>
      <w:numFmt w:val="bullet"/>
      <w:lvlText w:val=""/>
      <w:lvlJc w:val="left"/>
      <w:pPr>
        <w:ind w:left="2088" w:hanging="360"/>
      </w:pPr>
      <w:rPr>
        <w:rFonts w:ascii="Wingdings" w:hAnsi="Wingdings"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823A87"/>
    <w:multiLevelType w:val="hybridMultilevel"/>
    <w:tmpl w:val="3EEAEC38"/>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0E1728E1"/>
    <w:multiLevelType w:val="hybridMultilevel"/>
    <w:tmpl w:val="61D0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7C155C"/>
    <w:multiLevelType w:val="hybridMultilevel"/>
    <w:tmpl w:val="27B0D41E"/>
    <w:lvl w:ilvl="0" w:tplc="08090001">
      <w:start w:val="1"/>
      <w:numFmt w:val="bullet"/>
      <w:lvlText w:val=""/>
      <w:lvlJc w:val="left"/>
      <w:pPr>
        <w:ind w:left="3168" w:hanging="360"/>
      </w:pPr>
      <w:rPr>
        <w:rFonts w:ascii="Symbol" w:hAnsi="Symbol" w:hint="default"/>
      </w:rPr>
    </w:lvl>
    <w:lvl w:ilvl="1" w:tplc="08090003" w:tentative="1">
      <w:start w:val="1"/>
      <w:numFmt w:val="bullet"/>
      <w:lvlText w:val="o"/>
      <w:lvlJc w:val="left"/>
      <w:pPr>
        <w:ind w:left="3888" w:hanging="360"/>
      </w:pPr>
      <w:rPr>
        <w:rFonts w:ascii="Courier New" w:hAnsi="Courier New" w:cs="Courier New" w:hint="default"/>
      </w:rPr>
    </w:lvl>
    <w:lvl w:ilvl="2" w:tplc="08090005" w:tentative="1">
      <w:start w:val="1"/>
      <w:numFmt w:val="bullet"/>
      <w:lvlText w:val=""/>
      <w:lvlJc w:val="left"/>
      <w:pPr>
        <w:ind w:left="4608" w:hanging="360"/>
      </w:pPr>
      <w:rPr>
        <w:rFonts w:ascii="Wingdings" w:hAnsi="Wingdings" w:hint="default"/>
      </w:rPr>
    </w:lvl>
    <w:lvl w:ilvl="3" w:tplc="08090001" w:tentative="1">
      <w:start w:val="1"/>
      <w:numFmt w:val="bullet"/>
      <w:lvlText w:val=""/>
      <w:lvlJc w:val="left"/>
      <w:pPr>
        <w:ind w:left="5328" w:hanging="360"/>
      </w:pPr>
      <w:rPr>
        <w:rFonts w:ascii="Symbol" w:hAnsi="Symbol" w:hint="default"/>
      </w:rPr>
    </w:lvl>
    <w:lvl w:ilvl="4" w:tplc="08090003" w:tentative="1">
      <w:start w:val="1"/>
      <w:numFmt w:val="bullet"/>
      <w:lvlText w:val="o"/>
      <w:lvlJc w:val="left"/>
      <w:pPr>
        <w:ind w:left="6048" w:hanging="360"/>
      </w:pPr>
      <w:rPr>
        <w:rFonts w:ascii="Courier New" w:hAnsi="Courier New" w:cs="Courier New" w:hint="default"/>
      </w:rPr>
    </w:lvl>
    <w:lvl w:ilvl="5" w:tplc="08090005" w:tentative="1">
      <w:start w:val="1"/>
      <w:numFmt w:val="bullet"/>
      <w:lvlText w:val=""/>
      <w:lvlJc w:val="left"/>
      <w:pPr>
        <w:ind w:left="6768" w:hanging="360"/>
      </w:pPr>
      <w:rPr>
        <w:rFonts w:ascii="Wingdings" w:hAnsi="Wingdings" w:hint="default"/>
      </w:rPr>
    </w:lvl>
    <w:lvl w:ilvl="6" w:tplc="08090001" w:tentative="1">
      <w:start w:val="1"/>
      <w:numFmt w:val="bullet"/>
      <w:lvlText w:val=""/>
      <w:lvlJc w:val="left"/>
      <w:pPr>
        <w:ind w:left="7488" w:hanging="360"/>
      </w:pPr>
      <w:rPr>
        <w:rFonts w:ascii="Symbol" w:hAnsi="Symbol" w:hint="default"/>
      </w:rPr>
    </w:lvl>
    <w:lvl w:ilvl="7" w:tplc="08090003" w:tentative="1">
      <w:start w:val="1"/>
      <w:numFmt w:val="bullet"/>
      <w:lvlText w:val="o"/>
      <w:lvlJc w:val="left"/>
      <w:pPr>
        <w:ind w:left="8208" w:hanging="360"/>
      </w:pPr>
      <w:rPr>
        <w:rFonts w:ascii="Courier New" w:hAnsi="Courier New" w:cs="Courier New" w:hint="default"/>
      </w:rPr>
    </w:lvl>
    <w:lvl w:ilvl="8" w:tplc="08090005" w:tentative="1">
      <w:start w:val="1"/>
      <w:numFmt w:val="bullet"/>
      <w:lvlText w:val=""/>
      <w:lvlJc w:val="left"/>
      <w:pPr>
        <w:ind w:left="8928" w:hanging="360"/>
      </w:pPr>
      <w:rPr>
        <w:rFonts w:ascii="Wingdings" w:hAnsi="Wingdings" w:hint="default"/>
      </w:rPr>
    </w:lvl>
  </w:abstractNum>
  <w:abstractNum w:abstractNumId="17" w15:restartNumberingAfterBreak="0">
    <w:nsid w:val="169D33AB"/>
    <w:multiLevelType w:val="hybridMultilevel"/>
    <w:tmpl w:val="C166EE9C"/>
    <w:lvl w:ilvl="0" w:tplc="08090005">
      <w:start w:val="1"/>
      <w:numFmt w:val="bullet"/>
      <w:lvlText w:val=""/>
      <w:lvlJc w:val="left"/>
      <w:pPr>
        <w:ind w:left="2088" w:hanging="360"/>
      </w:pPr>
      <w:rPr>
        <w:rFonts w:ascii="Wingdings" w:hAnsi="Wingdings"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18" w15:restartNumberingAfterBreak="0">
    <w:nsid w:val="237A376E"/>
    <w:multiLevelType w:val="multilevel"/>
    <w:tmpl w:val="24B47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D77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85707"/>
    <w:multiLevelType w:val="multilevel"/>
    <w:tmpl w:val="0809001F"/>
    <w:lvl w:ilvl="0">
      <w:start w:val="1"/>
      <w:numFmt w:val="decimal"/>
      <w:lvlText w:val="%1."/>
      <w:lvlJc w:val="left"/>
      <w:pPr>
        <w:ind w:left="1584" w:hanging="360"/>
      </w:p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23" w15:restartNumberingAfterBreak="0">
    <w:nsid w:val="33F9081D"/>
    <w:multiLevelType w:val="hybridMultilevel"/>
    <w:tmpl w:val="E298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B51B5"/>
    <w:multiLevelType w:val="hybridMultilevel"/>
    <w:tmpl w:val="59D6D47E"/>
    <w:lvl w:ilvl="0" w:tplc="54B070D6">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931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E627C"/>
    <w:multiLevelType w:val="hybridMultilevel"/>
    <w:tmpl w:val="D34C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33903"/>
    <w:multiLevelType w:val="hybridMultilevel"/>
    <w:tmpl w:val="D48E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867D4"/>
    <w:multiLevelType w:val="multilevel"/>
    <w:tmpl w:val="2F4AB0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41FEE"/>
    <w:multiLevelType w:val="multilevel"/>
    <w:tmpl w:val="7D7694D8"/>
    <w:lvl w:ilvl="0">
      <w:start w:val="1"/>
      <w:numFmt w:val="decimal"/>
      <w:lvlText w:val="%1"/>
      <w:lvlJc w:val="left"/>
      <w:pPr>
        <w:ind w:left="432" w:hanging="432"/>
      </w:pPr>
      <w:rPr>
        <w:rFonts w:ascii="Arial" w:eastAsiaTheme="majorEastAsia" w:hAnsi="Arial" w:cs="Arial" w:hint="default"/>
      </w:r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8"/>
  </w:num>
  <w:num w:numId="2" w16cid:durableId="1138766773">
    <w:abstractNumId w:val="39"/>
  </w:num>
  <w:num w:numId="3" w16cid:durableId="522522328">
    <w:abstractNumId w:val="13"/>
  </w:num>
  <w:num w:numId="4" w16cid:durableId="556480329">
    <w:abstractNumId w:val="21"/>
  </w:num>
  <w:num w:numId="5" w16cid:durableId="1852528974">
    <w:abstractNumId w:val="35"/>
  </w:num>
  <w:num w:numId="6" w16cid:durableId="1075126410">
    <w:abstractNumId w:val="19"/>
  </w:num>
  <w:num w:numId="7" w16cid:durableId="662045058">
    <w:abstractNumId w:val="37"/>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9"/>
  </w:num>
  <w:num w:numId="20" w16cid:durableId="14481575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8"/>
  </w:num>
  <w:num w:numId="22" w16cid:durableId="55516916">
    <w:abstractNumId w:val="11"/>
  </w:num>
  <w:num w:numId="23" w16cid:durableId="2115055358">
    <w:abstractNumId w:val="24"/>
  </w:num>
  <w:num w:numId="24" w16cid:durableId="1060713258">
    <w:abstractNumId w:val="34"/>
  </w:num>
  <w:num w:numId="25" w16cid:durableId="888763029">
    <w:abstractNumId w:val="30"/>
  </w:num>
  <w:num w:numId="26" w16cid:durableId="904874202">
    <w:abstractNumId w:val="36"/>
  </w:num>
  <w:num w:numId="27" w16cid:durableId="1305549757">
    <w:abstractNumId w:val="24"/>
    <w:lvlOverride w:ilvl="0">
      <w:startOverride w:val="1"/>
    </w:lvlOverride>
  </w:num>
  <w:num w:numId="28" w16cid:durableId="784496698">
    <w:abstractNumId w:val="24"/>
    <w:lvlOverride w:ilvl="0">
      <w:startOverride w:val="1"/>
    </w:lvlOverride>
  </w:num>
  <w:num w:numId="29" w16cid:durableId="22482585">
    <w:abstractNumId w:val="24"/>
    <w:lvlOverride w:ilvl="0">
      <w:startOverride w:val="1"/>
    </w:lvlOverride>
  </w:num>
  <w:num w:numId="30" w16cid:durableId="1625506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5"/>
  </w:num>
  <w:num w:numId="33" w16cid:durableId="751707247">
    <w:abstractNumId w:val="18"/>
  </w:num>
  <w:num w:numId="34" w16cid:durableId="685448175">
    <w:abstractNumId w:val="26"/>
  </w:num>
  <w:num w:numId="35" w16cid:durableId="1408650172">
    <w:abstractNumId w:val="23"/>
  </w:num>
  <w:num w:numId="36" w16cid:durableId="1316497759">
    <w:abstractNumId w:val="32"/>
  </w:num>
  <w:num w:numId="37" w16cid:durableId="597714130">
    <w:abstractNumId w:val="31"/>
  </w:num>
  <w:num w:numId="38" w16cid:durableId="13258908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0605489">
    <w:abstractNumId w:val="15"/>
  </w:num>
  <w:num w:numId="40" w16cid:durableId="574585287">
    <w:abstractNumId w:val="33"/>
  </w:num>
  <w:num w:numId="41" w16cid:durableId="1016466124">
    <w:abstractNumId w:val="27"/>
  </w:num>
  <w:num w:numId="42" w16cid:durableId="1555773253">
    <w:abstractNumId w:val="14"/>
  </w:num>
  <w:num w:numId="43" w16cid:durableId="515770238">
    <w:abstractNumId w:val="16"/>
  </w:num>
  <w:num w:numId="44" w16cid:durableId="167840107">
    <w:abstractNumId w:val="12"/>
  </w:num>
  <w:num w:numId="45" w16cid:durableId="147795071">
    <w:abstractNumId w:val="22"/>
  </w:num>
  <w:num w:numId="46" w16cid:durableId="1574969670">
    <w:abstractNumId w:val="20"/>
  </w:num>
  <w:num w:numId="47" w16cid:durableId="220560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EAE"/>
    <w:rsid w:val="000051FD"/>
    <w:rsid w:val="00010B49"/>
    <w:rsid w:val="000112AE"/>
    <w:rsid w:val="00015CC3"/>
    <w:rsid w:val="00016432"/>
    <w:rsid w:val="00016CF2"/>
    <w:rsid w:val="00021C83"/>
    <w:rsid w:val="0002368F"/>
    <w:rsid w:val="00030742"/>
    <w:rsid w:val="00031EB5"/>
    <w:rsid w:val="000423C2"/>
    <w:rsid w:val="000525E6"/>
    <w:rsid w:val="00066555"/>
    <w:rsid w:val="00067966"/>
    <w:rsid w:val="0007082C"/>
    <w:rsid w:val="000753A8"/>
    <w:rsid w:val="00083B50"/>
    <w:rsid w:val="00084894"/>
    <w:rsid w:val="00087C06"/>
    <w:rsid w:val="0009105B"/>
    <w:rsid w:val="0009526A"/>
    <w:rsid w:val="0009597B"/>
    <w:rsid w:val="00096435"/>
    <w:rsid w:val="000A3F38"/>
    <w:rsid w:val="000A49B9"/>
    <w:rsid w:val="000A6EAC"/>
    <w:rsid w:val="000B330F"/>
    <w:rsid w:val="000D0B2C"/>
    <w:rsid w:val="000D23F4"/>
    <w:rsid w:val="000D3EF5"/>
    <w:rsid w:val="000E5A9F"/>
    <w:rsid w:val="000F0838"/>
    <w:rsid w:val="000F13D6"/>
    <w:rsid w:val="000F431D"/>
    <w:rsid w:val="00103A1E"/>
    <w:rsid w:val="001100B7"/>
    <w:rsid w:val="00117556"/>
    <w:rsid w:val="00121699"/>
    <w:rsid w:val="0012564B"/>
    <w:rsid w:val="00133AC5"/>
    <w:rsid w:val="00134131"/>
    <w:rsid w:val="00135284"/>
    <w:rsid w:val="001404D9"/>
    <w:rsid w:val="001468EC"/>
    <w:rsid w:val="001477BC"/>
    <w:rsid w:val="0015225C"/>
    <w:rsid w:val="00153F54"/>
    <w:rsid w:val="00161EDB"/>
    <w:rsid w:val="00176A6B"/>
    <w:rsid w:val="001861A4"/>
    <w:rsid w:val="001A52A7"/>
    <w:rsid w:val="001B0095"/>
    <w:rsid w:val="001B6874"/>
    <w:rsid w:val="001C04EE"/>
    <w:rsid w:val="001C0E14"/>
    <w:rsid w:val="001D610B"/>
    <w:rsid w:val="001E09F2"/>
    <w:rsid w:val="001E196D"/>
    <w:rsid w:val="001E1B0F"/>
    <w:rsid w:val="001E3E70"/>
    <w:rsid w:val="001E48AE"/>
    <w:rsid w:val="001E5082"/>
    <w:rsid w:val="001F4F20"/>
    <w:rsid w:val="001F6B2F"/>
    <w:rsid w:val="00203FB1"/>
    <w:rsid w:val="002142CF"/>
    <w:rsid w:val="00225BBB"/>
    <w:rsid w:val="002379D3"/>
    <w:rsid w:val="002519C0"/>
    <w:rsid w:val="00252148"/>
    <w:rsid w:val="00261178"/>
    <w:rsid w:val="00261A26"/>
    <w:rsid w:val="00263057"/>
    <w:rsid w:val="002634BA"/>
    <w:rsid w:val="00266CAB"/>
    <w:rsid w:val="00267D83"/>
    <w:rsid w:val="00276D78"/>
    <w:rsid w:val="002823CE"/>
    <w:rsid w:val="00292683"/>
    <w:rsid w:val="002967E2"/>
    <w:rsid w:val="002A1820"/>
    <w:rsid w:val="002A46D4"/>
    <w:rsid w:val="002A4EE3"/>
    <w:rsid w:val="002B63D8"/>
    <w:rsid w:val="002C2B1F"/>
    <w:rsid w:val="002C5D9D"/>
    <w:rsid w:val="002E1F39"/>
    <w:rsid w:val="002E5BBE"/>
    <w:rsid w:val="002F1A9D"/>
    <w:rsid w:val="002F3B5B"/>
    <w:rsid w:val="003000FB"/>
    <w:rsid w:val="00300D19"/>
    <w:rsid w:val="00310A76"/>
    <w:rsid w:val="003205F6"/>
    <w:rsid w:val="0032264E"/>
    <w:rsid w:val="003311B3"/>
    <w:rsid w:val="00335AC0"/>
    <w:rsid w:val="003416A0"/>
    <w:rsid w:val="003475A4"/>
    <w:rsid w:val="003517FB"/>
    <w:rsid w:val="003526E4"/>
    <w:rsid w:val="003556CF"/>
    <w:rsid w:val="00357C0B"/>
    <w:rsid w:val="00381A11"/>
    <w:rsid w:val="003915AD"/>
    <w:rsid w:val="00392783"/>
    <w:rsid w:val="00397455"/>
    <w:rsid w:val="00397DF5"/>
    <w:rsid w:val="003B30EC"/>
    <w:rsid w:val="003B78BE"/>
    <w:rsid w:val="003C10E8"/>
    <w:rsid w:val="003C2126"/>
    <w:rsid w:val="003E3997"/>
    <w:rsid w:val="00421D76"/>
    <w:rsid w:val="0042480E"/>
    <w:rsid w:val="00426CD0"/>
    <w:rsid w:val="004350CB"/>
    <w:rsid w:val="00435DB2"/>
    <w:rsid w:val="00445617"/>
    <w:rsid w:val="00450992"/>
    <w:rsid w:val="00454793"/>
    <w:rsid w:val="004564F6"/>
    <w:rsid w:val="00460B7A"/>
    <w:rsid w:val="004618C7"/>
    <w:rsid w:val="0046381F"/>
    <w:rsid w:val="0047087F"/>
    <w:rsid w:val="004734A0"/>
    <w:rsid w:val="0048290D"/>
    <w:rsid w:val="004A0911"/>
    <w:rsid w:val="004B048A"/>
    <w:rsid w:val="004B20D0"/>
    <w:rsid w:val="004D1FDB"/>
    <w:rsid w:val="004E032C"/>
    <w:rsid w:val="004E6F06"/>
    <w:rsid w:val="004F3D8E"/>
    <w:rsid w:val="004F5D57"/>
    <w:rsid w:val="005005F9"/>
    <w:rsid w:val="005035F0"/>
    <w:rsid w:val="00503782"/>
    <w:rsid w:val="0050649B"/>
    <w:rsid w:val="0051234C"/>
    <w:rsid w:val="00512DB9"/>
    <w:rsid w:val="005139F2"/>
    <w:rsid w:val="005249EA"/>
    <w:rsid w:val="00526B5B"/>
    <w:rsid w:val="00530F92"/>
    <w:rsid w:val="0053121C"/>
    <w:rsid w:val="005373FD"/>
    <w:rsid w:val="005377BA"/>
    <w:rsid w:val="00537AEA"/>
    <w:rsid w:val="0054428C"/>
    <w:rsid w:val="0055051B"/>
    <w:rsid w:val="00562A8D"/>
    <w:rsid w:val="00566415"/>
    <w:rsid w:val="0056661F"/>
    <w:rsid w:val="00570C2A"/>
    <w:rsid w:val="005727A4"/>
    <w:rsid w:val="0058115D"/>
    <w:rsid w:val="00593868"/>
    <w:rsid w:val="00595C53"/>
    <w:rsid w:val="00597362"/>
    <w:rsid w:val="00597A2D"/>
    <w:rsid w:val="005A2387"/>
    <w:rsid w:val="005A5AD5"/>
    <w:rsid w:val="005B4356"/>
    <w:rsid w:val="005B4809"/>
    <w:rsid w:val="005B66CB"/>
    <w:rsid w:val="005B71FA"/>
    <w:rsid w:val="005C1286"/>
    <w:rsid w:val="005C68D3"/>
    <w:rsid w:val="005D3AB3"/>
    <w:rsid w:val="005D3DFB"/>
    <w:rsid w:val="005D691A"/>
    <w:rsid w:val="005E4BA9"/>
    <w:rsid w:val="005E7E5C"/>
    <w:rsid w:val="005F32D0"/>
    <w:rsid w:val="0060088D"/>
    <w:rsid w:val="006225F7"/>
    <w:rsid w:val="00625279"/>
    <w:rsid w:val="00645C47"/>
    <w:rsid w:val="00651863"/>
    <w:rsid w:val="006649BD"/>
    <w:rsid w:val="00664D4D"/>
    <w:rsid w:val="0066686C"/>
    <w:rsid w:val="00675991"/>
    <w:rsid w:val="00684ACE"/>
    <w:rsid w:val="00686B34"/>
    <w:rsid w:val="006919BC"/>
    <w:rsid w:val="006A0052"/>
    <w:rsid w:val="006A04AA"/>
    <w:rsid w:val="006A2D59"/>
    <w:rsid w:val="006A2F4B"/>
    <w:rsid w:val="006A4FE6"/>
    <w:rsid w:val="006B33D7"/>
    <w:rsid w:val="006D3DF4"/>
    <w:rsid w:val="006D6498"/>
    <w:rsid w:val="006E03A1"/>
    <w:rsid w:val="006E2E7D"/>
    <w:rsid w:val="006F1535"/>
    <w:rsid w:val="00700188"/>
    <w:rsid w:val="00700CEF"/>
    <w:rsid w:val="0071039C"/>
    <w:rsid w:val="00713A28"/>
    <w:rsid w:val="00722FD5"/>
    <w:rsid w:val="00733A14"/>
    <w:rsid w:val="00734D37"/>
    <w:rsid w:val="00737F77"/>
    <w:rsid w:val="00753C13"/>
    <w:rsid w:val="00764184"/>
    <w:rsid w:val="00766200"/>
    <w:rsid w:val="007702D4"/>
    <w:rsid w:val="0077217C"/>
    <w:rsid w:val="00780C68"/>
    <w:rsid w:val="007A0E66"/>
    <w:rsid w:val="007A7210"/>
    <w:rsid w:val="007A7AC3"/>
    <w:rsid w:val="007B48B2"/>
    <w:rsid w:val="007D59D8"/>
    <w:rsid w:val="007E0C23"/>
    <w:rsid w:val="00802AA7"/>
    <w:rsid w:val="00803D56"/>
    <w:rsid w:val="0080657A"/>
    <w:rsid w:val="00815A26"/>
    <w:rsid w:val="00816BC5"/>
    <w:rsid w:val="00824DDD"/>
    <w:rsid w:val="00834AFD"/>
    <w:rsid w:val="00835320"/>
    <w:rsid w:val="008405F9"/>
    <w:rsid w:val="008467C2"/>
    <w:rsid w:val="00854E81"/>
    <w:rsid w:val="008569CD"/>
    <w:rsid w:val="00862D95"/>
    <w:rsid w:val="00866360"/>
    <w:rsid w:val="00871A0C"/>
    <w:rsid w:val="00874D8E"/>
    <w:rsid w:val="00875E86"/>
    <w:rsid w:val="00880E52"/>
    <w:rsid w:val="0088341B"/>
    <w:rsid w:val="0088599E"/>
    <w:rsid w:val="00891365"/>
    <w:rsid w:val="00892359"/>
    <w:rsid w:val="008C1175"/>
    <w:rsid w:val="008C551C"/>
    <w:rsid w:val="008C5C39"/>
    <w:rsid w:val="008C6C13"/>
    <w:rsid w:val="008C6CBD"/>
    <w:rsid w:val="008D254A"/>
    <w:rsid w:val="008F7604"/>
    <w:rsid w:val="009133E2"/>
    <w:rsid w:val="0091761E"/>
    <w:rsid w:val="009209A5"/>
    <w:rsid w:val="00920A55"/>
    <w:rsid w:val="00922CA3"/>
    <w:rsid w:val="00923FFB"/>
    <w:rsid w:val="009278BD"/>
    <w:rsid w:val="009359B4"/>
    <w:rsid w:val="00953A45"/>
    <w:rsid w:val="00954F59"/>
    <w:rsid w:val="00970001"/>
    <w:rsid w:val="00971EA6"/>
    <w:rsid w:val="00973B36"/>
    <w:rsid w:val="00973C73"/>
    <w:rsid w:val="00977442"/>
    <w:rsid w:val="0098001E"/>
    <w:rsid w:val="00981554"/>
    <w:rsid w:val="00985481"/>
    <w:rsid w:val="00993BF9"/>
    <w:rsid w:val="009A3418"/>
    <w:rsid w:val="009B0EBE"/>
    <w:rsid w:val="009B299E"/>
    <w:rsid w:val="009B29DB"/>
    <w:rsid w:val="009C2331"/>
    <w:rsid w:val="009C26A5"/>
    <w:rsid w:val="009C6582"/>
    <w:rsid w:val="009C6886"/>
    <w:rsid w:val="009C7699"/>
    <w:rsid w:val="009D2881"/>
    <w:rsid w:val="009D4EF7"/>
    <w:rsid w:val="009E1A4C"/>
    <w:rsid w:val="009F2803"/>
    <w:rsid w:val="00A01818"/>
    <w:rsid w:val="00A03398"/>
    <w:rsid w:val="00A060DD"/>
    <w:rsid w:val="00A06524"/>
    <w:rsid w:val="00A10647"/>
    <w:rsid w:val="00A17065"/>
    <w:rsid w:val="00A27F12"/>
    <w:rsid w:val="00A30CA3"/>
    <w:rsid w:val="00A47EEB"/>
    <w:rsid w:val="00A506A0"/>
    <w:rsid w:val="00A57CD3"/>
    <w:rsid w:val="00A612DB"/>
    <w:rsid w:val="00A62F6E"/>
    <w:rsid w:val="00A640A2"/>
    <w:rsid w:val="00A70447"/>
    <w:rsid w:val="00A72C55"/>
    <w:rsid w:val="00A75F61"/>
    <w:rsid w:val="00A82B8E"/>
    <w:rsid w:val="00A970CF"/>
    <w:rsid w:val="00AA009A"/>
    <w:rsid w:val="00AA04B2"/>
    <w:rsid w:val="00AD1CA8"/>
    <w:rsid w:val="00AD4C56"/>
    <w:rsid w:val="00AE6205"/>
    <w:rsid w:val="00AF6A33"/>
    <w:rsid w:val="00AF742A"/>
    <w:rsid w:val="00B0199A"/>
    <w:rsid w:val="00B04A83"/>
    <w:rsid w:val="00B05A36"/>
    <w:rsid w:val="00B079D0"/>
    <w:rsid w:val="00B12965"/>
    <w:rsid w:val="00B1455D"/>
    <w:rsid w:val="00B35976"/>
    <w:rsid w:val="00B36065"/>
    <w:rsid w:val="00B515C9"/>
    <w:rsid w:val="00B528ED"/>
    <w:rsid w:val="00B548D2"/>
    <w:rsid w:val="00B54D4D"/>
    <w:rsid w:val="00B57263"/>
    <w:rsid w:val="00B6307B"/>
    <w:rsid w:val="00B63DC3"/>
    <w:rsid w:val="00B663BD"/>
    <w:rsid w:val="00B75892"/>
    <w:rsid w:val="00B86E39"/>
    <w:rsid w:val="00B92905"/>
    <w:rsid w:val="00BA6C69"/>
    <w:rsid w:val="00BC4D0D"/>
    <w:rsid w:val="00BC7369"/>
    <w:rsid w:val="00BC77B0"/>
    <w:rsid w:val="00BC798C"/>
    <w:rsid w:val="00BD7C59"/>
    <w:rsid w:val="00C0100A"/>
    <w:rsid w:val="00C05B84"/>
    <w:rsid w:val="00C14FC3"/>
    <w:rsid w:val="00C228B5"/>
    <w:rsid w:val="00C24D8F"/>
    <w:rsid w:val="00C30F00"/>
    <w:rsid w:val="00C341BE"/>
    <w:rsid w:val="00C458FB"/>
    <w:rsid w:val="00C51057"/>
    <w:rsid w:val="00C63A86"/>
    <w:rsid w:val="00C73529"/>
    <w:rsid w:val="00C9033A"/>
    <w:rsid w:val="00C97AF3"/>
    <w:rsid w:val="00CA1500"/>
    <w:rsid w:val="00CA6954"/>
    <w:rsid w:val="00CA6EDB"/>
    <w:rsid w:val="00CA7F13"/>
    <w:rsid w:val="00CB137C"/>
    <w:rsid w:val="00CB1F64"/>
    <w:rsid w:val="00CB5D44"/>
    <w:rsid w:val="00CC67F7"/>
    <w:rsid w:val="00CD53A1"/>
    <w:rsid w:val="00CD582A"/>
    <w:rsid w:val="00CE29CE"/>
    <w:rsid w:val="00CE331C"/>
    <w:rsid w:val="00CE352E"/>
    <w:rsid w:val="00CE47D3"/>
    <w:rsid w:val="00CE5258"/>
    <w:rsid w:val="00CE608D"/>
    <w:rsid w:val="00CF46A9"/>
    <w:rsid w:val="00D116E5"/>
    <w:rsid w:val="00D4172F"/>
    <w:rsid w:val="00D447ED"/>
    <w:rsid w:val="00D4615D"/>
    <w:rsid w:val="00D5591B"/>
    <w:rsid w:val="00D70F0F"/>
    <w:rsid w:val="00D861DD"/>
    <w:rsid w:val="00D973DB"/>
    <w:rsid w:val="00DA7F3A"/>
    <w:rsid w:val="00DD7E12"/>
    <w:rsid w:val="00DE4B6E"/>
    <w:rsid w:val="00E112DB"/>
    <w:rsid w:val="00E24A5F"/>
    <w:rsid w:val="00E27566"/>
    <w:rsid w:val="00E33491"/>
    <w:rsid w:val="00E374E4"/>
    <w:rsid w:val="00E40BAE"/>
    <w:rsid w:val="00E503FE"/>
    <w:rsid w:val="00E53462"/>
    <w:rsid w:val="00E734C7"/>
    <w:rsid w:val="00E737BE"/>
    <w:rsid w:val="00E77516"/>
    <w:rsid w:val="00E84FDC"/>
    <w:rsid w:val="00E85F62"/>
    <w:rsid w:val="00EA11C3"/>
    <w:rsid w:val="00EA5BAC"/>
    <w:rsid w:val="00EB33B4"/>
    <w:rsid w:val="00EC0CD6"/>
    <w:rsid w:val="00ED09C6"/>
    <w:rsid w:val="00ED1374"/>
    <w:rsid w:val="00ED184E"/>
    <w:rsid w:val="00ED4788"/>
    <w:rsid w:val="00EE23DF"/>
    <w:rsid w:val="00EF0118"/>
    <w:rsid w:val="00EF0122"/>
    <w:rsid w:val="00EF729B"/>
    <w:rsid w:val="00F04921"/>
    <w:rsid w:val="00F07112"/>
    <w:rsid w:val="00F132D0"/>
    <w:rsid w:val="00F17158"/>
    <w:rsid w:val="00F26438"/>
    <w:rsid w:val="00F314A6"/>
    <w:rsid w:val="00F37C2A"/>
    <w:rsid w:val="00F5443A"/>
    <w:rsid w:val="00F56CFD"/>
    <w:rsid w:val="00F618BF"/>
    <w:rsid w:val="00F7314C"/>
    <w:rsid w:val="00F74ABA"/>
    <w:rsid w:val="00F77E1A"/>
    <w:rsid w:val="00F8264B"/>
    <w:rsid w:val="00F84635"/>
    <w:rsid w:val="00F94071"/>
    <w:rsid w:val="00FA0DCE"/>
    <w:rsid w:val="00FA19C7"/>
    <w:rsid w:val="00FA20F1"/>
    <w:rsid w:val="00FA30DC"/>
    <w:rsid w:val="00FB0CAC"/>
    <w:rsid w:val="00FB4D9E"/>
    <w:rsid w:val="00FC6E7A"/>
    <w:rsid w:val="00FD02B1"/>
    <w:rsid w:val="00FD0B31"/>
    <w:rsid w:val="00FE01AE"/>
    <w:rsid w:val="00FF49B6"/>
    <w:rsid w:val="00FF5215"/>
    <w:rsid w:val="023A58F4"/>
    <w:rsid w:val="05CD8AEA"/>
    <w:rsid w:val="06299956"/>
    <w:rsid w:val="07695B4B"/>
    <w:rsid w:val="09052BAC"/>
    <w:rsid w:val="0AE4C40C"/>
    <w:rsid w:val="1100C10D"/>
    <w:rsid w:val="14017AFF"/>
    <w:rsid w:val="151B01D8"/>
    <w:rsid w:val="17675771"/>
    <w:rsid w:val="1F11F4D1"/>
    <w:rsid w:val="22B3DDC9"/>
    <w:rsid w:val="29713831"/>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ListParagraph"/>
    <w:next w:val="Heading2"/>
    <w:link w:val="Heading1Char"/>
    <w:uiPriority w:val="9"/>
    <w:qFormat/>
    <w:rsid w:val="004B048A"/>
    <w:pPr>
      <w:numPr>
        <w:numId w:val="40"/>
      </w:numPr>
      <w:spacing w:line="276" w:lineRule="auto"/>
      <w:jc w:val="both"/>
      <w:outlineLvl w:val="0"/>
    </w:pPr>
    <w:rPr>
      <w:rFonts w:cs="Arial"/>
      <w:b/>
      <w:bCs/>
    </w:rPr>
  </w:style>
  <w:style w:type="paragraph" w:styleId="Heading2">
    <w:name w:val="heading 2"/>
    <w:aliases w:val="Heading 2 (CMU Minutes)"/>
    <w:basedOn w:val="Heading1"/>
    <w:link w:val="Heading2Char"/>
    <w:uiPriority w:val="9"/>
    <w:unhideWhenUsed/>
    <w:qFormat/>
    <w:rsid w:val="002A1820"/>
    <w:pPr>
      <w:numPr>
        <w:ilvl w:val="1"/>
      </w:numPr>
      <w:outlineLvl w:val="1"/>
    </w:pPr>
  </w:style>
  <w:style w:type="paragraph" w:styleId="Heading3">
    <w:name w:val="heading 3"/>
    <w:aliases w:val="Heading 3 (CMU Minutes)"/>
    <w:basedOn w:val="ListParagraph"/>
    <w:link w:val="Heading3Char"/>
    <w:uiPriority w:val="9"/>
    <w:unhideWhenUsed/>
    <w:qFormat/>
    <w:rsid w:val="00651863"/>
    <w:pPr>
      <w:numPr>
        <w:ilvl w:val="2"/>
        <w:numId w:val="40"/>
      </w:numPr>
      <w:spacing w:line="276" w:lineRule="auto"/>
      <w:jc w:val="both"/>
      <w:outlineLvl w:val="2"/>
    </w:pPr>
    <w:rPr>
      <w:rFonts w:cs="Arial"/>
      <w:b/>
      <w:bCs/>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4B048A"/>
    <w:rPr>
      <w:rFonts w:ascii="Arial" w:hAnsi="Arial" w:cs="Arial"/>
      <w:b/>
      <w:bCs/>
      <w:color w:val="000000" w:themeColor="text1"/>
      <w:sz w:val="24"/>
      <w:lang w:val="en-GB"/>
    </w:rPr>
  </w:style>
  <w:style w:type="character" w:customStyle="1" w:styleId="Heading2Char">
    <w:name w:val="Heading 2 Char"/>
    <w:aliases w:val="Heading 2 (CMU Minutes) Char"/>
    <w:basedOn w:val="DefaultParagraphFont"/>
    <w:link w:val="Heading2"/>
    <w:uiPriority w:val="9"/>
    <w:rsid w:val="002A1820"/>
    <w:rPr>
      <w:rFonts w:ascii="Arial" w:hAnsi="Arial" w:cs="Arial"/>
      <w:b/>
      <w:bCs/>
      <w:color w:val="000000" w:themeColor="text1"/>
      <w:sz w:val="24"/>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651863"/>
    <w:rPr>
      <w:rFonts w:ascii="Arial" w:hAnsi="Arial" w:cs="Arial"/>
      <w:b/>
      <w:bCs/>
      <w:color w:val="000000" w:themeColor="text1"/>
      <w:sz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5373FD"/>
    <w:pPr>
      <w:tabs>
        <w:tab w:val="left" w:pos="72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Default">
    <w:name w:val="Default"/>
    <w:rsid w:val="00FE01AE"/>
    <w:pPr>
      <w:spacing w:after="0" w:line="240" w:lineRule="auto"/>
    </w:pPr>
    <w:rPr>
      <w:rFonts w:ascii="Helvetica" w:eastAsia="Arial Unicode MS" w:hAnsi="Helvetica" w:cs="Arial Unicode MS"/>
      <w:color w:val="000000"/>
      <w:lang w:val="en-US" w:eastAsia="en-GB"/>
    </w:rPr>
  </w:style>
  <w:style w:type="paragraph" w:styleId="BodyText">
    <w:name w:val="Body Text"/>
    <w:basedOn w:val="Normal"/>
    <w:link w:val="BodyTextChar"/>
    <w:uiPriority w:val="1"/>
    <w:qFormat/>
    <w:rsid w:val="00087C06"/>
    <w:pPr>
      <w:widowControl w:val="0"/>
      <w:autoSpaceDE w:val="0"/>
      <w:autoSpaceDN w:val="0"/>
      <w:spacing w:after="0" w:line="240" w:lineRule="auto"/>
    </w:pPr>
    <w:rPr>
      <w:rFonts w:eastAsia="Arial" w:cs="Arial"/>
      <w:b/>
      <w:bCs/>
      <w:color w:val="auto"/>
      <w:szCs w:val="24"/>
      <w:lang w:val="en-US"/>
    </w:rPr>
  </w:style>
  <w:style w:type="character" w:customStyle="1" w:styleId="BodyTextChar">
    <w:name w:val="Body Text Char"/>
    <w:basedOn w:val="DefaultParagraphFont"/>
    <w:link w:val="BodyText"/>
    <w:uiPriority w:val="1"/>
    <w:rsid w:val="00087C06"/>
    <w:rPr>
      <w:rFonts w:ascii="Arial" w:eastAsia="Arial" w:hAnsi="Arial" w:cs="Arial"/>
      <w:b/>
      <w:bCs/>
      <w:sz w:val="24"/>
      <w:szCs w:val="24"/>
      <w:lang w:val="en-US"/>
    </w:rPr>
  </w:style>
  <w:style w:type="character" w:customStyle="1" w:styleId="cf01">
    <w:name w:val="cf01"/>
    <w:basedOn w:val="DefaultParagraphFont"/>
    <w:rsid w:val="00D861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3c5e799-0e5b-4a99-a3f0-04ac7f31dc6a" xsi:nil="true"/>
    <SharedWithUsers xmlns="877fbb32-90a5-4b08-8a85-55210fb79b13">
      <UserInfo>
        <DisplayName>Marriott, Hannah</DisplayName>
        <AccountId>923</AccountId>
        <AccountType/>
      </UserInfo>
      <UserInfo>
        <DisplayName>CARDIFF MET STAFF</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F76FDB33CADA4C805C2F7D193EC1DD" ma:contentTypeVersion="9" ma:contentTypeDescription="Create a new document." ma:contentTypeScope="" ma:versionID="dba8ff1c51366029ee1b490523c7d07a">
  <xsd:schema xmlns:xsd="http://www.w3.org/2001/XMLSchema" xmlns:xs="http://www.w3.org/2001/XMLSchema" xmlns:p="http://schemas.microsoft.com/office/2006/metadata/properties" xmlns:ns2="a3c5e799-0e5b-4a99-a3f0-04ac7f31dc6a" xmlns:ns3="877fbb32-90a5-4b08-8a85-55210fb79b13" targetNamespace="http://schemas.microsoft.com/office/2006/metadata/properties" ma:root="true" ma:fieldsID="298fb537718907c32d8762eadeee002a" ns2:_="" ns3:_="">
    <xsd:import namespace="a3c5e799-0e5b-4a99-a3f0-04ac7f31dc6a"/>
    <xsd:import namespace="877fbb32-90a5-4b08-8a85-55210fb7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e799-0e5b-4a99-a3f0-04ac7f31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fbb32-90a5-4b08-8a85-55210fb79b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4.xml><?xml version="1.0" encoding="utf-8"?>
<ds:datastoreItem xmlns:ds="http://schemas.openxmlformats.org/officeDocument/2006/customXml" ds:itemID="{4ADE7E01-B9BB-439A-BFD7-1D2747EE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e799-0e5b-4a99-a3f0-04ac7f31dc6a"/>
    <ds:schemaRef ds:uri="877fbb32-90a5-4b08-8a85-55210fb7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Taylor, Deborah</cp:lastModifiedBy>
  <cp:revision>12</cp:revision>
  <cp:lastPrinted>2023-08-31T09:30:00Z</cp:lastPrinted>
  <dcterms:created xsi:type="dcterms:W3CDTF">2025-04-15T11:17:00Z</dcterms:created>
  <dcterms:modified xsi:type="dcterms:W3CDTF">2025-04-23T07:11:00Z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0x01010060F76FDB33CADA4C805C2F7D193EC1DD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