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17369CF2" w14:textId="5E6DF5CA" w:rsidR="00B75892" w:rsidRDefault="003A6150" w:rsidP="0009597B">
      <w:pPr>
        <w:pStyle w:val="Title"/>
        <w:jc w:val="center"/>
      </w:pPr>
      <w:r>
        <w:t>Flexible Working Policy Statement</w:t>
      </w:r>
    </w:p>
    <w:p w14:paraId="7B7EF874" w14:textId="77777777" w:rsidR="00267CB7" w:rsidRPr="0064456C" w:rsidRDefault="00267CB7" w:rsidP="00267CB7">
      <w:pPr>
        <w:pStyle w:val="Subtitle"/>
        <w:jc w:val="center"/>
        <w:rPr>
          <w:color w:val="auto"/>
        </w:rPr>
      </w:pPr>
      <w:r w:rsidRPr="0064456C">
        <w:rPr>
          <w:color w:val="auto"/>
        </w:rPr>
        <w:t>POLICY COVERSHEET</w:t>
      </w:r>
    </w:p>
    <w:p w14:paraId="4EE2EE4E" w14:textId="16EFED09" w:rsidR="00E62C64" w:rsidRPr="00E62C64" w:rsidRDefault="00E62C64" w:rsidP="00267CB7">
      <w:pPr>
        <w:pStyle w:val="Heading1"/>
        <w:numPr>
          <w:ilvl w:val="0"/>
          <w:numId w:val="0"/>
        </w:numPr>
      </w:pPr>
      <w:bookmarkStart w:id="0" w:name="_Toc75950285"/>
      <w:bookmarkStart w:id="1" w:name="_Toc75950366"/>
      <w:bookmarkStart w:id="2" w:name="_Toc77936657"/>
      <w:bookmarkStart w:id="3" w:name="_Toc142394191"/>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1BA47BE2" w:rsidR="005D0B18" w:rsidRPr="00D9301C" w:rsidRDefault="003A6150" w:rsidP="00E62C64">
            <w:pPr>
              <w:rPr>
                <w:rStyle w:val="SubtleEmphasis"/>
              </w:rPr>
            </w:pPr>
            <w:r>
              <w:rPr>
                <w:rStyle w:val="SubtleEmphasis"/>
              </w:rPr>
              <w:t>Flexible Working Policy Statement</w:t>
            </w:r>
            <w:r w:rsidR="00553D91">
              <w:rPr>
                <w:rStyle w:val="SubtleEmphasis"/>
              </w:rPr>
              <w:t xml:space="preserve"> </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466FAF3D" w:rsidR="00424E11" w:rsidRPr="00D9301C" w:rsidRDefault="00382FA9" w:rsidP="00E62C64">
            <w:pPr>
              <w:rPr>
                <w:rStyle w:val="SubtleEmphasis"/>
              </w:rPr>
            </w:pPr>
            <w:r>
              <w:rPr>
                <w:rStyle w:val="SubtleEmphasis"/>
              </w:rPr>
              <w:t>October 20</w:t>
            </w:r>
            <w:r w:rsidR="004E311E">
              <w:rPr>
                <w:rStyle w:val="SubtleEmphasis"/>
              </w:rPr>
              <w:t>23</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7B948624" w:rsidR="00424E11" w:rsidRPr="00B72F9A" w:rsidRDefault="004B288A" w:rsidP="00E62C64">
            <w:pPr>
              <w:rPr>
                <w:rStyle w:val="SubtleEmphasis"/>
                <w:color w:val="000000" w:themeColor="text1"/>
              </w:rPr>
            </w:pPr>
            <w:r>
              <w:rPr>
                <w:rStyle w:val="SubtleEmphasis"/>
                <w:color w:val="000000" w:themeColor="text1"/>
              </w:rPr>
              <w:t xml:space="preserve">Academic </w:t>
            </w:r>
            <w:r w:rsidR="00BB214C" w:rsidRPr="00B72F9A">
              <w:rPr>
                <w:rStyle w:val="SubtleEmphasis"/>
                <w:color w:val="000000" w:themeColor="text1"/>
              </w:rPr>
              <w:t>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55CD9950" w:rsidR="00424E11" w:rsidRPr="00B72F9A" w:rsidRDefault="00382FA9" w:rsidP="00E62C64">
            <w:pPr>
              <w:rPr>
                <w:rStyle w:val="SubtleEmphasis"/>
                <w:color w:val="000000" w:themeColor="text1"/>
              </w:rPr>
            </w:pPr>
            <w:r w:rsidRPr="00B72F9A">
              <w:rPr>
                <w:rStyle w:val="SubtleEmphasis"/>
                <w:color w:val="000000" w:themeColor="text1"/>
              </w:rPr>
              <w:t>3</w:t>
            </w:r>
            <w:r w:rsidR="00D1170F" w:rsidRPr="00B72F9A">
              <w:rPr>
                <w:rStyle w:val="SubtleEmphasis"/>
                <w:color w:val="000000" w:themeColor="text1"/>
              </w:rPr>
              <w:t>.</w:t>
            </w:r>
            <w:r w:rsidR="003E35A1">
              <w:rPr>
                <w:rStyle w:val="SubtleEmphasis"/>
                <w:color w:val="000000" w:themeColor="text1"/>
              </w:rPr>
              <w:t>1</w:t>
            </w:r>
          </w:p>
        </w:tc>
      </w:tr>
      <w:tr w:rsidR="00424E11" w:rsidRPr="00424E11" w14:paraId="51E7BDE9" w14:textId="77777777" w:rsidTr="00382FA9">
        <w:trPr>
          <w:trHeight w:val="51"/>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386350CE" w:rsidR="00424E11" w:rsidRPr="00B72F9A" w:rsidRDefault="004104F8" w:rsidP="00E62C64">
            <w:pPr>
              <w:rPr>
                <w:rStyle w:val="SubtleEmphasis"/>
                <w:color w:val="000000" w:themeColor="text1"/>
              </w:rPr>
            </w:pPr>
            <w:r>
              <w:rPr>
                <w:rStyle w:val="SubtleEmphasis"/>
                <w:color w:val="000000" w:themeColor="text1"/>
              </w:rPr>
              <w:t>October 2019</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015CDC48" w:rsidR="00424E11" w:rsidRPr="00B72F9A" w:rsidRDefault="006B2F41" w:rsidP="00E62C64">
            <w:pPr>
              <w:rPr>
                <w:rStyle w:val="SubtleEmphasis"/>
                <w:color w:val="000000" w:themeColor="text1"/>
              </w:rPr>
            </w:pPr>
            <w:r>
              <w:rPr>
                <w:rStyle w:val="SubtleEmphasis"/>
                <w:color w:val="000000" w:themeColor="text1"/>
              </w:rPr>
              <w:t>January</w:t>
            </w:r>
            <w:r w:rsidR="00F227F2">
              <w:rPr>
                <w:rStyle w:val="SubtleEmphasis"/>
                <w:color w:val="000000" w:themeColor="text1"/>
              </w:rPr>
              <w:t xml:space="preserve"> 202</w:t>
            </w:r>
            <w:r w:rsidR="004E311E">
              <w:rPr>
                <w:rStyle w:val="SubtleEmphasis"/>
                <w:color w:val="000000" w:themeColor="text1"/>
              </w:rPr>
              <w:t>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3E4AE72A" w:rsidR="00D9301C" w:rsidRPr="00B72F9A" w:rsidRDefault="00D9301C" w:rsidP="00D9301C">
            <w:pPr>
              <w:pStyle w:val="CommentText"/>
              <w:rPr>
                <w:i/>
                <w:iCs/>
                <w:color w:val="000000" w:themeColor="text1"/>
                <w:sz w:val="24"/>
                <w:szCs w:val="24"/>
              </w:rPr>
            </w:pPr>
            <w:r w:rsidRPr="00B72F9A">
              <w:rPr>
                <w:i/>
                <w:iCs/>
                <w:color w:val="000000" w:themeColor="text1"/>
                <w:sz w:val="24"/>
                <w:szCs w:val="24"/>
              </w:rPr>
              <w:t>No major change</w:t>
            </w:r>
          </w:p>
          <w:p w14:paraId="3F09CB51" w14:textId="5130EBD1" w:rsidR="00424E11" w:rsidRPr="00B72F9A" w:rsidRDefault="00424E11" w:rsidP="00D9301C">
            <w:pPr>
              <w:rPr>
                <w:rStyle w:val="SubtleEmphasis"/>
                <w:color w:val="000000" w:themeColor="text1"/>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C7F25B4" w14:textId="7B1C2535" w:rsidR="009F6B45" w:rsidRDefault="009F6B45" w:rsidP="00E62C64">
            <w:pPr>
              <w:rPr>
                <w:rStyle w:val="SubtleEmphasis"/>
                <w:color w:val="000000" w:themeColor="text1"/>
              </w:rPr>
            </w:pPr>
            <w:r>
              <w:rPr>
                <w:rStyle w:val="SubtleEmphasis"/>
                <w:color w:val="000000" w:themeColor="text1"/>
              </w:rPr>
              <w:t>Flexible Working Line Manager Guidance</w:t>
            </w:r>
          </w:p>
          <w:p w14:paraId="7F5F01BF" w14:textId="1213318D" w:rsidR="009F6B45" w:rsidRDefault="009F6B45" w:rsidP="00E62C64">
            <w:pPr>
              <w:rPr>
                <w:rStyle w:val="SubtleEmphasis"/>
                <w:color w:val="000000" w:themeColor="text1"/>
              </w:rPr>
            </w:pPr>
            <w:r>
              <w:rPr>
                <w:rStyle w:val="SubtleEmphasis"/>
                <w:color w:val="000000" w:themeColor="text1"/>
              </w:rPr>
              <w:t>Flexible Working Employee Guidance</w:t>
            </w:r>
          </w:p>
          <w:p w14:paraId="352E9F84" w14:textId="1AAB9B08" w:rsidR="00877DE9" w:rsidRPr="00B72F9A" w:rsidRDefault="00877DE9" w:rsidP="00E62C64">
            <w:pPr>
              <w:rPr>
                <w:rStyle w:val="SubtleEmphasis"/>
                <w:color w:val="000000" w:themeColor="text1"/>
              </w:rPr>
            </w:pPr>
            <w:hyperlink r:id="rId12" w:history="1">
              <w:r w:rsidRPr="005A4593">
                <w:rPr>
                  <w:rStyle w:val="Hyperlink"/>
                </w:rPr>
                <w:t xml:space="preserve">Career Break </w:t>
              </w:r>
              <w:r w:rsidR="00B56A05" w:rsidRPr="005A4593">
                <w:rPr>
                  <w:rStyle w:val="Hyperlink"/>
                </w:rPr>
                <w:t>Scheme</w:t>
              </w:r>
            </w:hyperlink>
          </w:p>
          <w:p w14:paraId="5482948D" w14:textId="1315D1AD" w:rsidR="005F5064" w:rsidRPr="00B72F9A" w:rsidRDefault="007A70A3" w:rsidP="00E62C64">
            <w:pPr>
              <w:rPr>
                <w:rStyle w:val="SubtleEmphasis"/>
                <w:color w:val="000000" w:themeColor="text1"/>
              </w:rPr>
            </w:pPr>
            <w:hyperlink r:id="rId13" w:history="1">
              <w:r w:rsidRPr="00301701">
                <w:rPr>
                  <w:rStyle w:val="Hyperlink"/>
                </w:rPr>
                <w:t xml:space="preserve">Interim </w:t>
              </w:r>
              <w:r w:rsidR="005F5064" w:rsidRPr="00301701">
                <w:rPr>
                  <w:rStyle w:val="Hyperlink"/>
                </w:rPr>
                <w:t>Hybrid Working Policy</w:t>
              </w:r>
            </w:hyperlink>
            <w:r w:rsidR="005F5064" w:rsidRPr="00B72F9A">
              <w:rPr>
                <w:rStyle w:val="SubtleEmphasis"/>
                <w:color w:val="000000" w:themeColor="text1"/>
              </w:rPr>
              <w:t xml:space="preserve"> </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285D15F6" w:rsidR="00424E11" w:rsidRPr="00B72F9A" w:rsidRDefault="00BD4710" w:rsidP="00E62C64">
            <w:pPr>
              <w:rPr>
                <w:rStyle w:val="SubtleEmphasis"/>
                <w:color w:val="000000" w:themeColor="text1"/>
              </w:rPr>
            </w:pPr>
            <w:r>
              <w:rPr>
                <w:rStyle w:val="SubtleEmphasis"/>
                <w:color w:val="000000" w:themeColor="text1"/>
              </w:rPr>
              <w:t>1</w:t>
            </w:r>
            <w:r w:rsidR="000012AD">
              <w:rPr>
                <w:rStyle w:val="SubtleEmphasis"/>
                <w:color w:val="000000" w:themeColor="text1"/>
              </w:rPr>
              <w:t>0th</w:t>
            </w:r>
            <w:r>
              <w:rPr>
                <w:rStyle w:val="SubtleEmphasis"/>
                <w:color w:val="000000" w:themeColor="text1"/>
              </w:rPr>
              <w:t xml:space="preserve"> January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0599BBEB" w:rsidR="00424E11" w:rsidRPr="00B72F9A" w:rsidRDefault="0094058D" w:rsidP="00E62C64">
            <w:pPr>
              <w:rPr>
                <w:rStyle w:val="SubtleEmphasis"/>
                <w:color w:val="000000" w:themeColor="text1"/>
              </w:rPr>
            </w:pPr>
            <w:r w:rsidRPr="00B72F9A">
              <w:rPr>
                <w:rStyle w:val="SubtleEmphasis"/>
                <w:color w:val="000000" w:themeColor="text1"/>
              </w:rPr>
              <w:t>Director of People Services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5AD490A3" w:rsidR="00424E11" w:rsidRPr="00B72F9A" w:rsidRDefault="0094058D" w:rsidP="00E62C64">
            <w:pPr>
              <w:rPr>
                <w:rStyle w:val="SubtleEmphasis"/>
                <w:color w:val="000000" w:themeColor="text1"/>
              </w:rPr>
            </w:pPr>
            <w:r w:rsidRPr="00B72F9A">
              <w:rPr>
                <w:rStyle w:val="SubtleEmphasis"/>
                <w:color w:val="000000" w:themeColor="text1"/>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1192BA74" w:rsidR="00424E11" w:rsidRPr="00B72F9A" w:rsidRDefault="00844830" w:rsidP="00E62C64">
            <w:pPr>
              <w:rPr>
                <w:rStyle w:val="SubtleEmphasis"/>
                <w:color w:val="000000" w:themeColor="text1"/>
              </w:rPr>
            </w:pPr>
            <w:hyperlink r:id="rId14" w:history="1">
              <w:r w:rsidRPr="00B72B6E">
                <w:rPr>
                  <w:rStyle w:val="Hyperlink"/>
                </w:rPr>
                <w:t>humanresources@cardiffmet.ac.uk</w:t>
              </w:r>
            </w:hyperlink>
          </w:p>
        </w:tc>
      </w:tr>
    </w:tbl>
    <w:p w14:paraId="34FF043D" w14:textId="115BE5C9" w:rsidR="0098001E" w:rsidRDefault="00EE23DF" w:rsidP="005D0B18">
      <w:pPr>
        <w:rPr>
          <w:rStyle w:val="SubtleEmphasis"/>
        </w:rPr>
      </w:pPr>
      <w:r>
        <w:rPr>
          <w:rStyle w:val="SubtleEmphasis"/>
        </w:rPr>
        <w:t xml:space="preserve"> </w:t>
      </w:r>
    </w:p>
    <w:p w14:paraId="743CB93E" w14:textId="77777777" w:rsidR="00267CB7" w:rsidRPr="0064456C" w:rsidRDefault="00267CB7" w:rsidP="00267CB7">
      <w:pPr>
        <w:pStyle w:val="Heading1"/>
        <w:numPr>
          <w:ilvl w:val="0"/>
          <w:numId w:val="0"/>
        </w:numPr>
        <w:ind w:left="431" w:hanging="431"/>
        <w:rPr>
          <w:color w:val="auto"/>
        </w:rPr>
      </w:pPr>
      <w:bookmarkStart w:id="4" w:name="_Toc96605627"/>
      <w:bookmarkStart w:id="5" w:name="_Toc142394193"/>
      <w:r w:rsidRPr="0064456C">
        <w:rPr>
          <w:color w:val="auto"/>
        </w:rPr>
        <w:t>Policy Hub</w:t>
      </w:r>
      <w:bookmarkEnd w:id="4"/>
      <w:bookmarkEnd w:id="5"/>
    </w:p>
    <w:p w14:paraId="589B6D71" w14:textId="77777777" w:rsidR="00267CB7" w:rsidRPr="0064456C" w:rsidRDefault="00267CB7" w:rsidP="00267CB7">
      <w:pPr>
        <w:pStyle w:val="Heading2"/>
        <w:numPr>
          <w:ilvl w:val="0"/>
          <w:numId w:val="0"/>
        </w:numPr>
        <w:ind w:left="578" w:hanging="578"/>
        <w:rPr>
          <w:color w:val="auto"/>
        </w:rPr>
      </w:pPr>
      <w:r w:rsidRPr="0064456C">
        <w:rPr>
          <w:color w:val="auto"/>
        </w:rPr>
        <w:t>For further information on policies:</w:t>
      </w:r>
    </w:p>
    <w:p w14:paraId="5DC273DF" w14:textId="77777777" w:rsidR="00267CB7" w:rsidRPr="0064456C" w:rsidRDefault="00267CB7" w:rsidP="00267CB7">
      <w:pPr>
        <w:pStyle w:val="ActionPoints"/>
        <w:rPr>
          <w:color w:val="auto"/>
        </w:rPr>
      </w:pPr>
      <w:r w:rsidRPr="0064456C">
        <w:rPr>
          <w:color w:val="auto"/>
        </w:rPr>
        <w:t xml:space="preserve">You can go to the Secretariat pages </w:t>
      </w:r>
      <w:hyperlink r:id="rId15" w:history="1">
        <w:r w:rsidRPr="0064456C">
          <w:rPr>
            <w:rStyle w:val="Hyperlink"/>
            <w:color w:val="auto"/>
          </w:rPr>
          <w:t>on InSite</w:t>
        </w:r>
      </w:hyperlink>
      <w:r w:rsidRPr="0064456C">
        <w:rPr>
          <w:color w:val="auto"/>
        </w:rPr>
        <w:t>.</w:t>
      </w:r>
    </w:p>
    <w:p w14:paraId="350832E9" w14:textId="77777777" w:rsidR="00267CB7" w:rsidRDefault="00267CB7" w:rsidP="00267CB7">
      <w:pPr>
        <w:pStyle w:val="ActionPoints"/>
        <w:rPr>
          <w:color w:val="auto"/>
        </w:rPr>
      </w:pPr>
      <w:r w:rsidRPr="0064456C">
        <w:rPr>
          <w:color w:val="auto"/>
        </w:rPr>
        <w:t xml:space="preserve">You can go to the Policy Hub at </w:t>
      </w:r>
      <w:hyperlink r:id="rId16" w:history="1">
        <w:r w:rsidRPr="0064456C">
          <w:rPr>
            <w:rStyle w:val="Hyperlink"/>
            <w:color w:val="auto"/>
          </w:rPr>
          <w:t>cardiffmet.ac.uk/about/</w:t>
        </w:r>
        <w:proofErr w:type="spellStart"/>
        <w:r w:rsidRPr="0064456C">
          <w:rPr>
            <w:rStyle w:val="Hyperlink"/>
            <w:color w:val="auto"/>
          </w:rPr>
          <w:t>policyhub</w:t>
        </w:r>
        <w:proofErr w:type="spellEnd"/>
      </w:hyperlink>
      <w:r w:rsidRPr="0064456C">
        <w:rPr>
          <w:color w:val="auto"/>
        </w:rPr>
        <w:t>; or</w:t>
      </w:r>
    </w:p>
    <w:p w14:paraId="5FC3E7EB" w14:textId="14484EEA" w:rsidR="00BB7501" w:rsidRPr="00267CB7" w:rsidRDefault="00267CB7" w:rsidP="00267CB7">
      <w:pPr>
        <w:pStyle w:val="ActionPoints"/>
        <w:rPr>
          <w:color w:val="auto"/>
        </w:rPr>
      </w:pPr>
      <w:r w:rsidRPr="00267CB7">
        <w:rPr>
          <w:color w:val="auto"/>
        </w:rPr>
        <w:t xml:space="preserve">Contact </w:t>
      </w:r>
      <w:hyperlink r:id="rId17" w:history="1">
        <w:r w:rsidRPr="00267CB7">
          <w:rPr>
            <w:rStyle w:val="Hyperlink"/>
            <w:color w:val="auto"/>
          </w:rPr>
          <w:t>policies@cardiffmet.ac.uk</w:t>
        </w:r>
      </w:hyperlink>
      <w:r w:rsidRPr="00267CB7">
        <w:rPr>
          <w:color w:val="auto"/>
        </w:rPr>
        <w:t>.</w:t>
      </w:r>
    </w:p>
    <w:p w14:paraId="10EDBC98" w14:textId="77777777" w:rsidR="00267CB7" w:rsidRDefault="00267CB7" w:rsidP="0034225D">
      <w:pPr>
        <w:pStyle w:val="TOC1"/>
        <w:rPr>
          <w:lang w:val="cy-GB"/>
        </w:rPr>
      </w:pPr>
    </w:p>
    <w:p w14:paraId="05E8289F" w14:textId="77777777" w:rsidR="00A31FFD" w:rsidRPr="007E51C4" w:rsidRDefault="00A31FFD" w:rsidP="00A31FFD">
      <w:pPr>
        <w:keepNext/>
        <w:spacing w:after="0" w:line="240" w:lineRule="auto"/>
        <w:outlineLvl w:val="0"/>
        <w:rPr>
          <w:rFonts w:eastAsia="Times New Roman" w:cs="Arial"/>
          <w:b/>
          <w:bCs/>
          <w:color w:val="auto"/>
          <w:szCs w:val="20"/>
        </w:rPr>
      </w:pPr>
      <w:bookmarkStart w:id="6" w:name="_Toc150530930"/>
      <w:proofErr w:type="spellStart"/>
      <w:r w:rsidRPr="007E51C4">
        <w:rPr>
          <w:rFonts w:eastAsia="Times New Roman" w:cs="Arial"/>
          <w:b/>
          <w:bCs/>
          <w:color w:val="auto"/>
          <w:szCs w:val="20"/>
        </w:rPr>
        <w:t>Mae’r</w:t>
      </w:r>
      <w:proofErr w:type="spellEnd"/>
      <w:r w:rsidRPr="007E51C4">
        <w:rPr>
          <w:rFonts w:eastAsia="Times New Roman" w:cs="Arial"/>
          <w:b/>
          <w:bCs/>
          <w:color w:val="auto"/>
          <w:szCs w:val="20"/>
        </w:rPr>
        <w:t xml:space="preserve"> </w:t>
      </w:r>
      <w:proofErr w:type="spellStart"/>
      <w:r w:rsidRPr="007E51C4">
        <w:rPr>
          <w:rFonts w:eastAsia="Times New Roman" w:cs="Arial"/>
          <w:b/>
          <w:bCs/>
          <w:color w:val="auto"/>
          <w:szCs w:val="20"/>
        </w:rPr>
        <w:t>ddogfen</w:t>
      </w:r>
      <w:proofErr w:type="spellEnd"/>
      <w:r w:rsidRPr="007E51C4">
        <w:rPr>
          <w:rFonts w:eastAsia="Times New Roman" w:cs="Arial"/>
          <w:b/>
          <w:bCs/>
          <w:color w:val="auto"/>
          <w:szCs w:val="20"/>
        </w:rPr>
        <w:t xml:space="preserve"> hon </w:t>
      </w:r>
      <w:proofErr w:type="spellStart"/>
      <w:r w:rsidRPr="007E51C4">
        <w:rPr>
          <w:rFonts w:eastAsia="Times New Roman" w:cs="Arial"/>
          <w:b/>
          <w:bCs/>
          <w:color w:val="auto"/>
          <w:szCs w:val="20"/>
        </w:rPr>
        <w:t>hefyd</w:t>
      </w:r>
      <w:proofErr w:type="spellEnd"/>
      <w:r w:rsidRPr="007E51C4">
        <w:rPr>
          <w:rFonts w:eastAsia="Times New Roman" w:cs="Arial"/>
          <w:b/>
          <w:bCs/>
          <w:color w:val="auto"/>
          <w:szCs w:val="20"/>
        </w:rPr>
        <w:t xml:space="preserve"> </w:t>
      </w:r>
      <w:proofErr w:type="spellStart"/>
      <w:r w:rsidRPr="007E51C4">
        <w:rPr>
          <w:rFonts w:eastAsia="Times New Roman" w:cs="Arial"/>
          <w:b/>
          <w:bCs/>
          <w:color w:val="auto"/>
          <w:szCs w:val="20"/>
        </w:rPr>
        <w:t>ar</w:t>
      </w:r>
      <w:proofErr w:type="spellEnd"/>
      <w:r w:rsidRPr="007E51C4">
        <w:rPr>
          <w:rFonts w:eastAsia="Times New Roman" w:cs="Arial"/>
          <w:b/>
          <w:bCs/>
          <w:color w:val="auto"/>
          <w:szCs w:val="20"/>
        </w:rPr>
        <w:t xml:space="preserve"> </w:t>
      </w:r>
      <w:proofErr w:type="spellStart"/>
      <w:r w:rsidRPr="007E51C4">
        <w:rPr>
          <w:rFonts w:eastAsia="Times New Roman" w:cs="Arial"/>
          <w:b/>
          <w:bCs/>
          <w:color w:val="auto"/>
          <w:szCs w:val="20"/>
        </w:rPr>
        <w:t>gael</w:t>
      </w:r>
      <w:proofErr w:type="spellEnd"/>
      <w:r w:rsidRPr="007E51C4">
        <w:rPr>
          <w:rFonts w:eastAsia="Times New Roman" w:cs="Arial"/>
          <w:b/>
          <w:bCs/>
          <w:color w:val="auto"/>
          <w:szCs w:val="20"/>
        </w:rPr>
        <w:t xml:space="preserve"> </w:t>
      </w:r>
      <w:proofErr w:type="spellStart"/>
      <w:r w:rsidRPr="007E51C4">
        <w:rPr>
          <w:rFonts w:eastAsia="Times New Roman" w:cs="Arial"/>
          <w:b/>
          <w:bCs/>
          <w:color w:val="auto"/>
          <w:szCs w:val="20"/>
        </w:rPr>
        <w:t>yn</w:t>
      </w:r>
      <w:proofErr w:type="spellEnd"/>
      <w:r w:rsidRPr="007E51C4">
        <w:rPr>
          <w:rFonts w:eastAsia="Times New Roman" w:cs="Arial"/>
          <w:b/>
          <w:bCs/>
          <w:color w:val="auto"/>
          <w:szCs w:val="20"/>
        </w:rPr>
        <w:t xml:space="preserve"> </w:t>
      </w:r>
      <w:proofErr w:type="spellStart"/>
      <w:r w:rsidRPr="007E51C4">
        <w:rPr>
          <w:rFonts w:eastAsia="Times New Roman" w:cs="Arial"/>
          <w:b/>
          <w:bCs/>
          <w:color w:val="auto"/>
          <w:szCs w:val="20"/>
        </w:rPr>
        <w:t>Gymraeg</w:t>
      </w:r>
      <w:proofErr w:type="spellEnd"/>
      <w:r w:rsidRPr="007E51C4">
        <w:rPr>
          <w:rFonts w:eastAsia="Times New Roman" w:cs="Arial"/>
          <w:b/>
          <w:bCs/>
          <w:color w:val="auto"/>
          <w:szCs w:val="20"/>
        </w:rPr>
        <w:t xml:space="preserve"> / This document is also available in Welsh</w:t>
      </w:r>
      <w:bookmarkEnd w:id="6"/>
    </w:p>
    <w:p w14:paraId="481B734A" w14:textId="77777777" w:rsidR="00B47F3F" w:rsidRDefault="00B47F3F" w:rsidP="0034225D">
      <w:pPr>
        <w:pStyle w:val="TOC1"/>
        <w:rPr>
          <w:shd w:val="clear" w:color="auto" w:fill="E6E6E6"/>
        </w:rPr>
      </w:pPr>
    </w:p>
    <w:p w14:paraId="3D173946" w14:textId="77777777" w:rsidR="00033F2F" w:rsidRDefault="00033F2F" w:rsidP="00033F2F"/>
    <w:p w14:paraId="0EE8EC6E" w14:textId="77777777" w:rsidR="00033F2F" w:rsidRDefault="00033F2F" w:rsidP="00033F2F"/>
    <w:p w14:paraId="079E4712" w14:textId="77777777" w:rsidR="00033F2F" w:rsidRDefault="00033F2F" w:rsidP="00033F2F"/>
    <w:p w14:paraId="09A21F4C" w14:textId="77777777" w:rsidR="00033F2F" w:rsidRPr="00033F2F" w:rsidRDefault="00033F2F" w:rsidP="00033F2F"/>
    <w:p w14:paraId="09785E3F" w14:textId="77777777" w:rsidR="00B47F3F" w:rsidRDefault="00B47F3F" w:rsidP="0034225D">
      <w:pPr>
        <w:pStyle w:val="TOC1"/>
        <w:rPr>
          <w:shd w:val="clear" w:color="auto" w:fill="E6E6E6"/>
        </w:rPr>
      </w:pP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50E2ACD" w14:textId="77777777" w:rsidR="001F1805" w:rsidRDefault="00176A6B" w:rsidP="0034225D">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2B8CB55E" w14:textId="04FED71F"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1" w:history="1">
            <w:r w:rsidRPr="00D92482">
              <w:rPr>
                <w:rStyle w:val="Hyperlink"/>
                <w:noProof/>
              </w:rPr>
              <w:t>Key Details</w:t>
            </w:r>
            <w:r>
              <w:rPr>
                <w:noProof/>
                <w:webHidden/>
              </w:rPr>
              <w:tab/>
            </w:r>
            <w:r>
              <w:rPr>
                <w:noProof/>
                <w:webHidden/>
              </w:rPr>
              <w:fldChar w:fldCharType="begin"/>
            </w:r>
            <w:r>
              <w:rPr>
                <w:noProof/>
                <w:webHidden/>
              </w:rPr>
              <w:instrText xml:space="preserve"> PAGEREF _Toc142394191 \h </w:instrText>
            </w:r>
            <w:r>
              <w:rPr>
                <w:noProof/>
                <w:webHidden/>
              </w:rPr>
            </w:r>
            <w:r>
              <w:rPr>
                <w:noProof/>
                <w:webHidden/>
              </w:rPr>
              <w:fldChar w:fldCharType="separate"/>
            </w:r>
            <w:r>
              <w:rPr>
                <w:noProof/>
                <w:webHidden/>
              </w:rPr>
              <w:t>1</w:t>
            </w:r>
            <w:r>
              <w:rPr>
                <w:noProof/>
                <w:webHidden/>
              </w:rPr>
              <w:fldChar w:fldCharType="end"/>
            </w:r>
          </w:hyperlink>
        </w:p>
        <w:p w14:paraId="5016A825" w14:textId="7CFECF56"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2" w:history="1">
            <w:r w:rsidRPr="00D92482">
              <w:rPr>
                <w:rStyle w:val="Hyperlink"/>
                <w:noProof/>
              </w:rPr>
              <w:t>Version Control</w:t>
            </w:r>
            <w:r>
              <w:rPr>
                <w:noProof/>
                <w:webHidden/>
              </w:rPr>
              <w:tab/>
            </w:r>
            <w:r>
              <w:rPr>
                <w:noProof/>
                <w:webHidden/>
              </w:rPr>
              <w:fldChar w:fldCharType="begin"/>
            </w:r>
            <w:r>
              <w:rPr>
                <w:noProof/>
                <w:webHidden/>
              </w:rPr>
              <w:instrText xml:space="preserve"> PAGEREF _Toc142394192 \h </w:instrText>
            </w:r>
            <w:r>
              <w:rPr>
                <w:noProof/>
                <w:webHidden/>
              </w:rPr>
            </w:r>
            <w:r>
              <w:rPr>
                <w:noProof/>
                <w:webHidden/>
              </w:rPr>
              <w:fldChar w:fldCharType="separate"/>
            </w:r>
            <w:r>
              <w:rPr>
                <w:noProof/>
                <w:webHidden/>
              </w:rPr>
              <w:t>1</w:t>
            </w:r>
            <w:r>
              <w:rPr>
                <w:noProof/>
                <w:webHidden/>
              </w:rPr>
              <w:fldChar w:fldCharType="end"/>
            </w:r>
          </w:hyperlink>
        </w:p>
        <w:p w14:paraId="103D7AD8" w14:textId="00EF7029"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3" w:history="1">
            <w:r w:rsidRPr="00D92482">
              <w:rPr>
                <w:rStyle w:val="Hyperlink"/>
                <w:noProof/>
              </w:rPr>
              <w:t>Policy Hub</w:t>
            </w:r>
            <w:r>
              <w:rPr>
                <w:noProof/>
                <w:webHidden/>
              </w:rPr>
              <w:tab/>
            </w:r>
            <w:r>
              <w:rPr>
                <w:noProof/>
                <w:webHidden/>
              </w:rPr>
              <w:fldChar w:fldCharType="begin"/>
            </w:r>
            <w:r>
              <w:rPr>
                <w:noProof/>
                <w:webHidden/>
              </w:rPr>
              <w:instrText xml:space="preserve"> PAGEREF _Toc142394193 \h </w:instrText>
            </w:r>
            <w:r>
              <w:rPr>
                <w:noProof/>
                <w:webHidden/>
              </w:rPr>
            </w:r>
            <w:r>
              <w:rPr>
                <w:noProof/>
                <w:webHidden/>
              </w:rPr>
              <w:fldChar w:fldCharType="separate"/>
            </w:r>
            <w:r>
              <w:rPr>
                <w:noProof/>
                <w:webHidden/>
              </w:rPr>
              <w:t>2</w:t>
            </w:r>
            <w:r>
              <w:rPr>
                <w:noProof/>
                <w:webHidden/>
              </w:rPr>
              <w:fldChar w:fldCharType="end"/>
            </w:r>
          </w:hyperlink>
        </w:p>
        <w:p w14:paraId="219E7D6C" w14:textId="4DC9A0A9"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4" w:history="1">
            <w:r w:rsidRPr="00D92482">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D92482">
              <w:rPr>
                <w:rStyle w:val="Hyperlink"/>
                <w:noProof/>
              </w:rPr>
              <w:t>Introduction</w:t>
            </w:r>
            <w:r>
              <w:rPr>
                <w:noProof/>
                <w:webHidden/>
              </w:rPr>
              <w:tab/>
            </w:r>
            <w:r>
              <w:rPr>
                <w:noProof/>
                <w:webHidden/>
              </w:rPr>
              <w:fldChar w:fldCharType="begin"/>
            </w:r>
            <w:r>
              <w:rPr>
                <w:noProof/>
                <w:webHidden/>
              </w:rPr>
              <w:instrText xml:space="preserve"> PAGEREF _Toc142394194 \h </w:instrText>
            </w:r>
            <w:r>
              <w:rPr>
                <w:noProof/>
                <w:webHidden/>
              </w:rPr>
            </w:r>
            <w:r>
              <w:rPr>
                <w:noProof/>
                <w:webHidden/>
              </w:rPr>
              <w:fldChar w:fldCharType="separate"/>
            </w:r>
            <w:r>
              <w:rPr>
                <w:noProof/>
                <w:webHidden/>
              </w:rPr>
              <w:t>3</w:t>
            </w:r>
            <w:r>
              <w:rPr>
                <w:noProof/>
                <w:webHidden/>
              </w:rPr>
              <w:fldChar w:fldCharType="end"/>
            </w:r>
          </w:hyperlink>
        </w:p>
        <w:p w14:paraId="583E609D" w14:textId="710548FC"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5" w:history="1">
            <w:r w:rsidRPr="00D92482">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D92482">
              <w:rPr>
                <w:rStyle w:val="Hyperlink"/>
                <w:noProof/>
              </w:rPr>
              <w:t>Purpose</w:t>
            </w:r>
            <w:r>
              <w:rPr>
                <w:noProof/>
                <w:webHidden/>
              </w:rPr>
              <w:tab/>
            </w:r>
            <w:r>
              <w:rPr>
                <w:noProof/>
                <w:webHidden/>
              </w:rPr>
              <w:fldChar w:fldCharType="begin"/>
            </w:r>
            <w:r>
              <w:rPr>
                <w:noProof/>
                <w:webHidden/>
              </w:rPr>
              <w:instrText xml:space="preserve"> PAGEREF _Toc142394195 \h </w:instrText>
            </w:r>
            <w:r>
              <w:rPr>
                <w:noProof/>
                <w:webHidden/>
              </w:rPr>
            </w:r>
            <w:r>
              <w:rPr>
                <w:noProof/>
                <w:webHidden/>
              </w:rPr>
              <w:fldChar w:fldCharType="separate"/>
            </w:r>
            <w:r>
              <w:rPr>
                <w:noProof/>
                <w:webHidden/>
              </w:rPr>
              <w:t>3</w:t>
            </w:r>
            <w:r>
              <w:rPr>
                <w:noProof/>
                <w:webHidden/>
              </w:rPr>
              <w:fldChar w:fldCharType="end"/>
            </w:r>
          </w:hyperlink>
        </w:p>
        <w:p w14:paraId="6C0D52B4" w14:textId="5D815D09"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6" w:history="1">
            <w:r w:rsidRPr="00D92482">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D92482">
              <w:rPr>
                <w:rStyle w:val="Hyperlink"/>
                <w:noProof/>
              </w:rPr>
              <w:t>Benefits</w:t>
            </w:r>
            <w:r>
              <w:rPr>
                <w:noProof/>
                <w:webHidden/>
              </w:rPr>
              <w:tab/>
            </w:r>
            <w:r>
              <w:rPr>
                <w:noProof/>
                <w:webHidden/>
              </w:rPr>
              <w:fldChar w:fldCharType="begin"/>
            </w:r>
            <w:r>
              <w:rPr>
                <w:noProof/>
                <w:webHidden/>
              </w:rPr>
              <w:instrText xml:space="preserve"> PAGEREF _Toc142394196 \h </w:instrText>
            </w:r>
            <w:r>
              <w:rPr>
                <w:noProof/>
                <w:webHidden/>
              </w:rPr>
            </w:r>
            <w:r>
              <w:rPr>
                <w:noProof/>
                <w:webHidden/>
              </w:rPr>
              <w:fldChar w:fldCharType="separate"/>
            </w:r>
            <w:r>
              <w:rPr>
                <w:noProof/>
                <w:webHidden/>
              </w:rPr>
              <w:t>3</w:t>
            </w:r>
            <w:r>
              <w:rPr>
                <w:noProof/>
                <w:webHidden/>
              </w:rPr>
              <w:fldChar w:fldCharType="end"/>
            </w:r>
          </w:hyperlink>
        </w:p>
        <w:p w14:paraId="562AC444" w14:textId="5B14C3B0"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7" w:history="1">
            <w:r w:rsidRPr="00D92482">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D92482">
              <w:rPr>
                <w:rStyle w:val="Hyperlink"/>
                <w:noProof/>
              </w:rPr>
              <w:t>Principles</w:t>
            </w:r>
            <w:r>
              <w:rPr>
                <w:noProof/>
                <w:webHidden/>
              </w:rPr>
              <w:tab/>
            </w:r>
            <w:r>
              <w:rPr>
                <w:noProof/>
                <w:webHidden/>
              </w:rPr>
              <w:fldChar w:fldCharType="begin"/>
            </w:r>
            <w:r>
              <w:rPr>
                <w:noProof/>
                <w:webHidden/>
              </w:rPr>
              <w:instrText xml:space="preserve"> PAGEREF _Toc142394197 \h </w:instrText>
            </w:r>
            <w:r>
              <w:rPr>
                <w:noProof/>
                <w:webHidden/>
              </w:rPr>
            </w:r>
            <w:r>
              <w:rPr>
                <w:noProof/>
                <w:webHidden/>
              </w:rPr>
              <w:fldChar w:fldCharType="separate"/>
            </w:r>
            <w:r>
              <w:rPr>
                <w:noProof/>
                <w:webHidden/>
              </w:rPr>
              <w:t>4</w:t>
            </w:r>
            <w:r>
              <w:rPr>
                <w:noProof/>
                <w:webHidden/>
              </w:rPr>
              <w:fldChar w:fldCharType="end"/>
            </w:r>
          </w:hyperlink>
        </w:p>
        <w:p w14:paraId="41B84EBA" w14:textId="1E837B36"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8" w:history="1">
            <w:r w:rsidRPr="00D92482">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D92482">
              <w:rPr>
                <w:rStyle w:val="Hyperlink"/>
                <w:noProof/>
              </w:rPr>
              <w:t>Policy Framework</w:t>
            </w:r>
            <w:r>
              <w:rPr>
                <w:noProof/>
                <w:webHidden/>
              </w:rPr>
              <w:tab/>
            </w:r>
            <w:r>
              <w:rPr>
                <w:noProof/>
                <w:webHidden/>
              </w:rPr>
              <w:fldChar w:fldCharType="begin"/>
            </w:r>
            <w:r>
              <w:rPr>
                <w:noProof/>
                <w:webHidden/>
              </w:rPr>
              <w:instrText xml:space="preserve"> PAGEREF _Toc142394198 \h </w:instrText>
            </w:r>
            <w:r>
              <w:rPr>
                <w:noProof/>
                <w:webHidden/>
              </w:rPr>
            </w:r>
            <w:r>
              <w:rPr>
                <w:noProof/>
                <w:webHidden/>
              </w:rPr>
              <w:fldChar w:fldCharType="separate"/>
            </w:r>
            <w:r>
              <w:rPr>
                <w:noProof/>
                <w:webHidden/>
              </w:rPr>
              <w:t>4</w:t>
            </w:r>
            <w:r>
              <w:rPr>
                <w:noProof/>
                <w:webHidden/>
              </w:rPr>
              <w:fldChar w:fldCharType="end"/>
            </w:r>
          </w:hyperlink>
        </w:p>
        <w:p w14:paraId="56B1103C" w14:textId="53D07C22"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199" w:history="1">
            <w:r w:rsidRPr="00D92482">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D92482">
              <w:rPr>
                <w:rStyle w:val="Hyperlink"/>
                <w:noProof/>
              </w:rPr>
              <w:t>Eligibility and Procedure</w:t>
            </w:r>
            <w:r>
              <w:rPr>
                <w:noProof/>
                <w:webHidden/>
              </w:rPr>
              <w:tab/>
            </w:r>
            <w:r>
              <w:rPr>
                <w:noProof/>
                <w:webHidden/>
              </w:rPr>
              <w:fldChar w:fldCharType="begin"/>
            </w:r>
            <w:r>
              <w:rPr>
                <w:noProof/>
                <w:webHidden/>
              </w:rPr>
              <w:instrText xml:space="preserve"> PAGEREF _Toc142394199 \h </w:instrText>
            </w:r>
            <w:r>
              <w:rPr>
                <w:noProof/>
                <w:webHidden/>
              </w:rPr>
            </w:r>
            <w:r>
              <w:rPr>
                <w:noProof/>
                <w:webHidden/>
              </w:rPr>
              <w:fldChar w:fldCharType="separate"/>
            </w:r>
            <w:r>
              <w:rPr>
                <w:noProof/>
                <w:webHidden/>
              </w:rPr>
              <w:t>6</w:t>
            </w:r>
            <w:r>
              <w:rPr>
                <w:noProof/>
                <w:webHidden/>
              </w:rPr>
              <w:fldChar w:fldCharType="end"/>
            </w:r>
          </w:hyperlink>
        </w:p>
        <w:p w14:paraId="61C89F64" w14:textId="5774FE79"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200" w:history="1">
            <w:r w:rsidRPr="00D92482">
              <w:rPr>
                <w:rStyle w:val="Hyperlink"/>
                <w:rFonts w:asciiTheme="majorHAnsi" w:hAnsiTheme="majorHAnsi"/>
                <w:noProof/>
              </w:rPr>
              <w:t>7</w:t>
            </w:r>
            <w:r>
              <w:rPr>
                <w:rFonts w:asciiTheme="minorHAnsi" w:eastAsiaTheme="minorEastAsia" w:hAnsiTheme="minorHAnsi"/>
                <w:noProof/>
                <w:color w:val="auto"/>
                <w:kern w:val="2"/>
                <w:sz w:val="22"/>
                <w:lang w:eastAsia="en-GB"/>
                <w14:ligatures w14:val="standardContextual"/>
              </w:rPr>
              <w:tab/>
            </w:r>
            <w:r w:rsidRPr="00D92482">
              <w:rPr>
                <w:rStyle w:val="Hyperlink"/>
                <w:noProof/>
              </w:rPr>
              <w:t>Appealing the decision</w:t>
            </w:r>
            <w:r>
              <w:rPr>
                <w:noProof/>
                <w:webHidden/>
              </w:rPr>
              <w:tab/>
            </w:r>
            <w:r>
              <w:rPr>
                <w:noProof/>
                <w:webHidden/>
              </w:rPr>
              <w:fldChar w:fldCharType="begin"/>
            </w:r>
            <w:r>
              <w:rPr>
                <w:noProof/>
                <w:webHidden/>
              </w:rPr>
              <w:instrText xml:space="preserve"> PAGEREF _Toc142394200 \h </w:instrText>
            </w:r>
            <w:r>
              <w:rPr>
                <w:noProof/>
                <w:webHidden/>
              </w:rPr>
            </w:r>
            <w:r>
              <w:rPr>
                <w:noProof/>
                <w:webHidden/>
              </w:rPr>
              <w:fldChar w:fldCharType="separate"/>
            </w:r>
            <w:r>
              <w:rPr>
                <w:noProof/>
                <w:webHidden/>
              </w:rPr>
              <w:t>7</w:t>
            </w:r>
            <w:r>
              <w:rPr>
                <w:noProof/>
                <w:webHidden/>
              </w:rPr>
              <w:fldChar w:fldCharType="end"/>
            </w:r>
          </w:hyperlink>
        </w:p>
        <w:p w14:paraId="6897B81C" w14:textId="1DA5316D" w:rsidR="001F1805" w:rsidRDefault="001F1805">
          <w:pPr>
            <w:pStyle w:val="TOC1"/>
            <w:rPr>
              <w:rFonts w:asciiTheme="minorHAnsi" w:eastAsiaTheme="minorEastAsia" w:hAnsiTheme="minorHAnsi"/>
              <w:noProof/>
              <w:color w:val="auto"/>
              <w:kern w:val="2"/>
              <w:sz w:val="22"/>
              <w:lang w:eastAsia="en-GB"/>
              <w14:ligatures w14:val="standardContextual"/>
            </w:rPr>
          </w:pPr>
          <w:hyperlink w:anchor="_Toc142394201" w:history="1">
            <w:r w:rsidRPr="00D92482">
              <w:rPr>
                <w:rStyle w:val="Hyperlink"/>
                <w:rFonts w:asciiTheme="majorHAnsi" w:hAnsiTheme="majorHAnsi"/>
                <w:noProof/>
              </w:rPr>
              <w:t>8</w:t>
            </w:r>
            <w:r>
              <w:rPr>
                <w:rFonts w:asciiTheme="minorHAnsi" w:eastAsiaTheme="minorEastAsia" w:hAnsiTheme="minorHAnsi"/>
                <w:noProof/>
                <w:color w:val="auto"/>
                <w:kern w:val="2"/>
                <w:sz w:val="22"/>
                <w:lang w:eastAsia="en-GB"/>
                <w14:ligatures w14:val="standardContextual"/>
              </w:rPr>
              <w:tab/>
            </w:r>
            <w:r w:rsidRPr="00D92482">
              <w:rPr>
                <w:rStyle w:val="Hyperlink"/>
                <w:noProof/>
              </w:rPr>
              <w:t>Policy Statement Revision</w:t>
            </w:r>
            <w:r>
              <w:rPr>
                <w:noProof/>
                <w:webHidden/>
              </w:rPr>
              <w:tab/>
            </w:r>
            <w:r>
              <w:rPr>
                <w:noProof/>
                <w:webHidden/>
              </w:rPr>
              <w:fldChar w:fldCharType="begin"/>
            </w:r>
            <w:r>
              <w:rPr>
                <w:noProof/>
                <w:webHidden/>
              </w:rPr>
              <w:instrText xml:space="preserve"> PAGEREF _Toc142394201 \h </w:instrText>
            </w:r>
            <w:r>
              <w:rPr>
                <w:noProof/>
                <w:webHidden/>
              </w:rPr>
            </w:r>
            <w:r>
              <w:rPr>
                <w:noProof/>
                <w:webHidden/>
              </w:rPr>
              <w:fldChar w:fldCharType="separate"/>
            </w:r>
            <w:r>
              <w:rPr>
                <w:noProof/>
                <w:webHidden/>
              </w:rPr>
              <w:t>8</w:t>
            </w:r>
            <w:r>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2084EE8E" w:rsidR="00C30F00" w:rsidRDefault="00EA69F4" w:rsidP="00276D78">
      <w:pPr>
        <w:pStyle w:val="Heading1"/>
      </w:pPr>
      <w:bookmarkStart w:id="7" w:name="_Toc142394194"/>
      <w:r>
        <w:lastRenderedPageBreak/>
        <w:t>Introduction</w:t>
      </w:r>
      <w:bookmarkEnd w:id="7"/>
    </w:p>
    <w:p w14:paraId="26C07436" w14:textId="77777777" w:rsidR="00D62DB8" w:rsidRPr="00D62DB8" w:rsidRDefault="00D62DB8" w:rsidP="00D62DB8"/>
    <w:p w14:paraId="16A6B72E" w14:textId="06EEF081" w:rsidR="005265FC" w:rsidRDefault="00BD31FE" w:rsidP="005265FC">
      <w:pPr>
        <w:pStyle w:val="Heading2"/>
        <w:numPr>
          <w:ilvl w:val="1"/>
          <w:numId w:val="23"/>
        </w:numPr>
      </w:pPr>
      <w:r>
        <w:t>To support St</w:t>
      </w:r>
      <w:r w:rsidR="0053269B">
        <w:t>rategy 2030 and i</w:t>
      </w:r>
      <w:r w:rsidR="005265FC" w:rsidRPr="005265FC">
        <w:t>n line with its shared values and behaviours, the University is committed to supporting employees to achieve an appropriate work-life balance by providing a range of flexible working options.</w:t>
      </w:r>
    </w:p>
    <w:p w14:paraId="18E381D9" w14:textId="77777777" w:rsidR="00D62DB8" w:rsidRPr="00D62DB8" w:rsidRDefault="00D62DB8" w:rsidP="00D62DB8"/>
    <w:p w14:paraId="4260D77D" w14:textId="70800276" w:rsidR="005265FC" w:rsidRDefault="005265FC" w:rsidP="005265FC">
      <w:pPr>
        <w:pStyle w:val="Heading2"/>
        <w:ind w:left="578" w:hanging="578"/>
      </w:pPr>
      <w:r w:rsidRPr="005265FC">
        <w:t xml:space="preserve">Flexible working </w:t>
      </w:r>
      <w:r w:rsidR="00367D18">
        <w:t xml:space="preserve">can be </w:t>
      </w:r>
      <w:r w:rsidR="00490F64" w:rsidRPr="407FBA11">
        <w:rPr>
          <w:color w:val="auto"/>
        </w:rPr>
        <w:t xml:space="preserve">a permanent </w:t>
      </w:r>
      <w:r w:rsidR="00367D18">
        <w:rPr>
          <w:color w:val="auto"/>
        </w:rPr>
        <w:t xml:space="preserve">or temporary </w:t>
      </w:r>
      <w:r w:rsidR="00490F64" w:rsidRPr="407FBA11">
        <w:rPr>
          <w:color w:val="auto"/>
        </w:rPr>
        <w:t>agreement between an employee and employer</w:t>
      </w:r>
      <w:r w:rsidR="00D065D9">
        <w:rPr>
          <w:color w:val="auto"/>
        </w:rPr>
        <w:t xml:space="preserve"> to change </w:t>
      </w:r>
      <w:r w:rsidR="00F649BB">
        <w:rPr>
          <w:color w:val="auto"/>
        </w:rPr>
        <w:t>an</w:t>
      </w:r>
      <w:r w:rsidR="00D065D9">
        <w:rPr>
          <w:color w:val="auto"/>
        </w:rPr>
        <w:t xml:space="preserve"> </w:t>
      </w:r>
      <w:r w:rsidR="003B6215">
        <w:rPr>
          <w:color w:val="auto"/>
        </w:rPr>
        <w:t xml:space="preserve">employment </w:t>
      </w:r>
      <w:proofErr w:type="gramStart"/>
      <w:r w:rsidR="003B6215">
        <w:rPr>
          <w:color w:val="auto"/>
        </w:rPr>
        <w:t>contract</w:t>
      </w:r>
      <w:r w:rsidR="00841447">
        <w:rPr>
          <w:color w:val="auto"/>
        </w:rPr>
        <w:t>;</w:t>
      </w:r>
      <w:proofErr w:type="gramEnd"/>
      <w:r w:rsidR="00F91728">
        <w:rPr>
          <w:color w:val="auto"/>
        </w:rPr>
        <w:t xml:space="preserve"> </w:t>
      </w:r>
      <w:r w:rsidR="00490F64" w:rsidRPr="407FBA11">
        <w:rPr>
          <w:color w:val="auto"/>
        </w:rPr>
        <w:t xml:space="preserve">such as the </w:t>
      </w:r>
      <w:r w:rsidR="00C343E7">
        <w:rPr>
          <w:color w:val="auto"/>
        </w:rPr>
        <w:t xml:space="preserve">location, </w:t>
      </w:r>
      <w:r w:rsidR="00490F64" w:rsidRPr="407FBA11">
        <w:rPr>
          <w:color w:val="auto"/>
        </w:rPr>
        <w:t>hours</w:t>
      </w:r>
      <w:r w:rsidR="00BE030D">
        <w:rPr>
          <w:color w:val="auto"/>
        </w:rPr>
        <w:t xml:space="preserve"> or days </w:t>
      </w:r>
      <w:r w:rsidR="00490F64" w:rsidRPr="407FBA11">
        <w:rPr>
          <w:color w:val="auto"/>
        </w:rPr>
        <w:t>work</w:t>
      </w:r>
      <w:r w:rsidR="00841447">
        <w:rPr>
          <w:color w:val="auto"/>
        </w:rPr>
        <w:t>ed</w:t>
      </w:r>
      <w:r w:rsidRPr="005265FC">
        <w:t xml:space="preserve"> to the mutual benefit of the individual and the University</w:t>
      </w:r>
      <w:r w:rsidR="00C13E86">
        <w:t>.</w:t>
      </w:r>
      <w:r w:rsidR="00BD3CFC">
        <w:t xml:space="preserve"> </w:t>
      </w:r>
    </w:p>
    <w:p w14:paraId="71516241" w14:textId="77777777" w:rsidR="00D62DB8" w:rsidRPr="00D62DB8" w:rsidRDefault="00D62DB8" w:rsidP="00D62DB8"/>
    <w:p w14:paraId="18379DD2" w14:textId="77777777" w:rsidR="005265FC" w:rsidRPr="005265FC" w:rsidRDefault="005265FC" w:rsidP="005265FC">
      <w:pPr>
        <w:pStyle w:val="Heading2"/>
      </w:pPr>
      <w:r w:rsidRPr="005265FC">
        <w:t xml:space="preserve">The University is committed to the promotion of a healthy work-life balance for all and recognises that flexibility is highly valued by employees and that flexible working can offer benefits to both employees and the University. </w:t>
      </w:r>
    </w:p>
    <w:p w14:paraId="705484DF" w14:textId="287216B0" w:rsidR="5E802755" w:rsidRDefault="5E802755" w:rsidP="5E802755"/>
    <w:p w14:paraId="48F7BFFC" w14:textId="7563D930" w:rsidR="009359B4" w:rsidRDefault="005265FC" w:rsidP="005265FC">
      <w:pPr>
        <w:pStyle w:val="Heading1"/>
      </w:pPr>
      <w:bookmarkStart w:id="8" w:name="_Toc142394195"/>
      <w:r>
        <w:t>Purpose</w:t>
      </w:r>
      <w:bookmarkEnd w:id="8"/>
    </w:p>
    <w:p w14:paraId="2969DB98" w14:textId="77777777" w:rsidR="00D62DB8" w:rsidRPr="00D62DB8" w:rsidRDefault="00D62DB8" w:rsidP="00D62DB8">
      <w:pPr>
        <w:rPr>
          <w:rFonts w:eastAsiaTheme="majorEastAsia" w:cstheme="majorBidi"/>
          <w:szCs w:val="24"/>
        </w:rPr>
      </w:pPr>
    </w:p>
    <w:p w14:paraId="5D1A232B" w14:textId="135B2A16" w:rsidR="00D62DB8" w:rsidRPr="00D62DB8" w:rsidRDefault="00D62DB8" w:rsidP="00D62DB8">
      <w:pPr>
        <w:pStyle w:val="Heading2"/>
        <w:numPr>
          <w:ilvl w:val="1"/>
          <w:numId w:val="24"/>
        </w:numPr>
      </w:pPr>
      <w:r w:rsidRPr="00D62DB8">
        <w:t xml:space="preserve">The purpose of this policy is to establish a flexible working framework for Cardiff Metropolitan University that can be adapted in innovative ways that add to the learning and teaching experience, and satisfy employee needs wherever possible. </w:t>
      </w:r>
    </w:p>
    <w:p w14:paraId="1E931423" w14:textId="77777777" w:rsidR="00A05E79" w:rsidRPr="00EC2C8F" w:rsidRDefault="00A05E79" w:rsidP="00EC2C8F"/>
    <w:p w14:paraId="1971254E" w14:textId="6E8F9B5F" w:rsidR="00D973DB" w:rsidRDefault="00D62DB8" w:rsidP="00D973DB">
      <w:pPr>
        <w:pStyle w:val="Heading1"/>
      </w:pPr>
      <w:bookmarkStart w:id="9" w:name="_Toc142394196"/>
      <w:r>
        <w:t>Benefits</w:t>
      </w:r>
      <w:bookmarkEnd w:id="9"/>
    </w:p>
    <w:p w14:paraId="16487AC8" w14:textId="77777777" w:rsidR="002A3F73" w:rsidRPr="002A3F73" w:rsidRDefault="002A3F73" w:rsidP="002A3F73"/>
    <w:p w14:paraId="7CF6954A" w14:textId="52F321DE" w:rsidR="00731546" w:rsidRPr="002A3F73" w:rsidRDefault="00731546" w:rsidP="00C36784">
      <w:pPr>
        <w:pStyle w:val="Heading2"/>
        <w:numPr>
          <w:ilvl w:val="1"/>
          <w:numId w:val="26"/>
        </w:numPr>
        <w:spacing w:line="240" w:lineRule="auto"/>
        <w:rPr>
          <w:b/>
        </w:rPr>
      </w:pPr>
      <w:r w:rsidRPr="00376D9B">
        <w:t xml:space="preserve">It is recognised that flexible working can have a </w:t>
      </w:r>
      <w:r w:rsidR="005F07EC">
        <w:t xml:space="preserve">mutual </w:t>
      </w:r>
      <w:r w:rsidRPr="00376D9B">
        <w:t xml:space="preserve">positive impact on both employees and the University. </w:t>
      </w:r>
    </w:p>
    <w:p w14:paraId="1ACA2342" w14:textId="77777777" w:rsidR="00731546" w:rsidRPr="00376D9B" w:rsidRDefault="00731546" w:rsidP="00C36784">
      <w:pPr>
        <w:pStyle w:val="ListParagraph"/>
        <w:spacing w:line="240" w:lineRule="auto"/>
        <w:ind w:left="792"/>
        <w:jc w:val="both"/>
        <w:rPr>
          <w:rFonts w:ascii="Century Gothic" w:hAnsi="Century Gothic"/>
          <w:b/>
        </w:rPr>
      </w:pPr>
    </w:p>
    <w:p w14:paraId="57B759B1" w14:textId="4E1B72C7" w:rsidR="00731546" w:rsidRPr="00376D9B" w:rsidRDefault="00731546" w:rsidP="00C36784">
      <w:pPr>
        <w:pStyle w:val="Heading2"/>
        <w:spacing w:line="240" w:lineRule="auto"/>
        <w:rPr>
          <w:b/>
        </w:rPr>
      </w:pPr>
      <w:r>
        <w:t>In relation to employees, the benefits includ</w:t>
      </w:r>
      <w:r w:rsidR="003A1CDC">
        <w:t>e</w:t>
      </w:r>
      <w:r>
        <w:t>:</w:t>
      </w:r>
      <w:r w:rsidRPr="00376D9B">
        <w:t xml:space="preserve"> </w:t>
      </w:r>
    </w:p>
    <w:p w14:paraId="2FF8B66A" w14:textId="77777777" w:rsidR="00731546" w:rsidRPr="00C36784" w:rsidRDefault="00731546" w:rsidP="00C36784">
      <w:pPr>
        <w:spacing w:line="360" w:lineRule="auto"/>
        <w:jc w:val="both"/>
        <w:rPr>
          <w:rFonts w:ascii="Century Gothic" w:hAnsi="Century Gothic"/>
          <w:b/>
        </w:rPr>
      </w:pPr>
    </w:p>
    <w:p w14:paraId="737AD58C" w14:textId="0E0F1E9A" w:rsidR="00731546" w:rsidRPr="002A3F73" w:rsidRDefault="00731546" w:rsidP="002A3F73">
      <w:pPr>
        <w:pStyle w:val="Heading3"/>
        <w:numPr>
          <w:ilvl w:val="2"/>
          <w:numId w:val="27"/>
        </w:numPr>
      </w:pPr>
      <w:r w:rsidRPr="002A3F73">
        <w:t xml:space="preserve">Supporting </w:t>
      </w:r>
      <w:r w:rsidR="00CD79CA">
        <w:t>employee</w:t>
      </w:r>
      <w:r w:rsidR="0004225E">
        <w:t>s</w:t>
      </w:r>
      <w:r w:rsidR="00CD79CA">
        <w:t xml:space="preserve"> </w:t>
      </w:r>
      <w:r w:rsidRPr="002A3F73">
        <w:t xml:space="preserve">work-life balance by enabling them to make more time for personal and domestic commitments. </w:t>
      </w:r>
    </w:p>
    <w:p w14:paraId="4A5F6248" w14:textId="58041A5B" w:rsidR="00731546" w:rsidRPr="002A3F73" w:rsidRDefault="00731546" w:rsidP="002A3F73">
      <w:pPr>
        <w:pStyle w:val="Heading3"/>
      </w:pPr>
      <w:r w:rsidRPr="002A3F73">
        <w:t xml:space="preserve">Improving employee well-being. </w:t>
      </w:r>
    </w:p>
    <w:p w14:paraId="484A38E6" w14:textId="3073FAAA" w:rsidR="00731546" w:rsidRPr="002A3F73" w:rsidRDefault="00731546" w:rsidP="002A3F73">
      <w:pPr>
        <w:pStyle w:val="Heading3"/>
      </w:pPr>
      <w:r w:rsidRPr="002A3F73">
        <w:t xml:space="preserve">Improving employee morale. </w:t>
      </w:r>
    </w:p>
    <w:p w14:paraId="6275BA1A" w14:textId="4482B725" w:rsidR="00731546" w:rsidRPr="002A3F73" w:rsidRDefault="00731546" w:rsidP="002A3F73">
      <w:pPr>
        <w:pStyle w:val="Heading3"/>
      </w:pPr>
      <w:r w:rsidRPr="002A3F73">
        <w:t>Enabling employees to manage health and well-being activities around their working</w:t>
      </w:r>
      <w:r w:rsidR="002A3F73" w:rsidRPr="002A3F73">
        <w:t xml:space="preserve"> </w:t>
      </w:r>
      <w:r w:rsidRPr="002A3F73">
        <w:t xml:space="preserve">hours. </w:t>
      </w:r>
    </w:p>
    <w:p w14:paraId="59715C86" w14:textId="5503DE4B" w:rsidR="00731546" w:rsidRPr="002A3F73" w:rsidRDefault="00731546" w:rsidP="002A3F73">
      <w:pPr>
        <w:pStyle w:val="Heading3"/>
      </w:pPr>
      <w:r w:rsidRPr="002A3F73">
        <w:t xml:space="preserve">Enabling employees to have greater control over their working lives. </w:t>
      </w:r>
    </w:p>
    <w:p w14:paraId="6CF75BCA" w14:textId="77777777" w:rsidR="00731546" w:rsidRPr="00376D9B" w:rsidRDefault="00731546" w:rsidP="00731546">
      <w:pPr>
        <w:pStyle w:val="ListParagraph"/>
        <w:spacing w:line="360" w:lineRule="auto"/>
        <w:ind w:left="1497"/>
        <w:jc w:val="both"/>
        <w:rPr>
          <w:rFonts w:ascii="Century Gothic" w:hAnsi="Century Gothic"/>
        </w:rPr>
      </w:pPr>
    </w:p>
    <w:p w14:paraId="76C6D883" w14:textId="1ED1DEE5" w:rsidR="00731546" w:rsidRPr="00376D9B" w:rsidRDefault="00731546" w:rsidP="002A3F73">
      <w:pPr>
        <w:pStyle w:val="Heading2"/>
      </w:pPr>
      <w:r>
        <w:t>In relation to the University, the</w:t>
      </w:r>
      <w:r w:rsidR="0050778C">
        <w:t xml:space="preserve"> benefits</w:t>
      </w:r>
      <w:r>
        <w:t xml:space="preserve"> includ</w:t>
      </w:r>
      <w:r w:rsidR="0050778C">
        <w:t>e</w:t>
      </w:r>
      <w:r w:rsidRPr="00376D9B">
        <w:t xml:space="preserve">: </w:t>
      </w:r>
    </w:p>
    <w:p w14:paraId="456D1B84" w14:textId="3DAAE463" w:rsidR="00731546" w:rsidRPr="002A3F73" w:rsidRDefault="00731546" w:rsidP="002A3F73">
      <w:pPr>
        <w:pStyle w:val="Heading3"/>
        <w:numPr>
          <w:ilvl w:val="2"/>
          <w:numId w:val="28"/>
        </w:numPr>
      </w:pPr>
      <w:r w:rsidRPr="002A3F73">
        <w:lastRenderedPageBreak/>
        <w:t>Increasing productivity, responsiveness and efficiency.</w:t>
      </w:r>
    </w:p>
    <w:p w14:paraId="05C56F99" w14:textId="60087079" w:rsidR="00731546" w:rsidRPr="002A3F73" w:rsidRDefault="00731546" w:rsidP="002A3F73">
      <w:pPr>
        <w:pStyle w:val="Heading3"/>
      </w:pPr>
      <w:r w:rsidRPr="002A3F73">
        <w:t>Improving customer service by providing non-traditional service hours.</w:t>
      </w:r>
    </w:p>
    <w:p w14:paraId="0256EF7E" w14:textId="41FDB8E4" w:rsidR="00731546" w:rsidRPr="002A3F73" w:rsidRDefault="00731546" w:rsidP="002A3F73">
      <w:pPr>
        <w:pStyle w:val="Heading3"/>
      </w:pPr>
      <w:r w:rsidRPr="002A3F73">
        <w:t>Improving competitive advantage by promoting Cardiff Metropolitan</w:t>
      </w:r>
      <w:r w:rsidR="002A3F73" w:rsidRPr="002A3F73">
        <w:t xml:space="preserve"> </w:t>
      </w:r>
      <w:r w:rsidRPr="002A3F73">
        <w:t xml:space="preserve">University as an employer of choice. </w:t>
      </w:r>
    </w:p>
    <w:p w14:paraId="5C2E5D02" w14:textId="3ECFA8E0" w:rsidR="00731546" w:rsidRPr="002A3F73" w:rsidRDefault="00731546" w:rsidP="002A3F73">
      <w:pPr>
        <w:pStyle w:val="Heading3"/>
      </w:pPr>
      <w:r w:rsidRPr="002A3F73">
        <w:t xml:space="preserve">Promoting diversity by attracting a wider range of candidates. </w:t>
      </w:r>
    </w:p>
    <w:p w14:paraId="79B30452" w14:textId="77777777" w:rsidR="00731546" w:rsidRPr="00376D9B" w:rsidRDefault="00731546" w:rsidP="00731546">
      <w:pPr>
        <w:pStyle w:val="ListParagraph"/>
        <w:spacing w:line="360" w:lineRule="auto"/>
        <w:ind w:left="1497"/>
        <w:jc w:val="both"/>
        <w:rPr>
          <w:rFonts w:ascii="Century Gothic" w:hAnsi="Century Gothic"/>
        </w:rPr>
      </w:pPr>
    </w:p>
    <w:p w14:paraId="6E7E8BFB" w14:textId="41DF126E" w:rsidR="009A3418" w:rsidRDefault="00187BB4" w:rsidP="00187BB4">
      <w:pPr>
        <w:pStyle w:val="Heading1"/>
      </w:pPr>
      <w:bookmarkStart w:id="10" w:name="_Toc142394197"/>
      <w:r>
        <w:t>Principles</w:t>
      </w:r>
      <w:bookmarkEnd w:id="10"/>
    </w:p>
    <w:p w14:paraId="25D2ECD7" w14:textId="77777777" w:rsidR="00187BB4" w:rsidRPr="00187BB4" w:rsidRDefault="00187BB4" w:rsidP="00187BB4"/>
    <w:p w14:paraId="7F0E3B8B" w14:textId="3B74AE77" w:rsidR="00187BB4" w:rsidRDefault="00187BB4" w:rsidP="00187BB4">
      <w:pPr>
        <w:pStyle w:val="Heading2"/>
        <w:numPr>
          <w:ilvl w:val="1"/>
          <w:numId w:val="29"/>
        </w:numPr>
      </w:pPr>
      <w:r>
        <w:t xml:space="preserve">Cardiff Metropolitan University is a multifaceted, diverse and complex organisation and therefore a “one size fits all” approach to flexible working would not be appropriate, nor would it allow the University to meet its service and operational requirements. It is not possible to apply flexibility consistently across the University and there will be justified inconsistencies in application. </w:t>
      </w:r>
    </w:p>
    <w:p w14:paraId="600F3383" w14:textId="77777777" w:rsidR="00187BB4" w:rsidRDefault="00187BB4" w:rsidP="00187BB4">
      <w:pPr>
        <w:pStyle w:val="Heading2"/>
        <w:numPr>
          <w:ilvl w:val="0"/>
          <w:numId w:val="0"/>
        </w:numPr>
        <w:ind w:left="576"/>
      </w:pPr>
    </w:p>
    <w:p w14:paraId="423817B5" w14:textId="7460C6B0" w:rsidR="00187BB4" w:rsidRDefault="00187BB4" w:rsidP="00187BB4">
      <w:pPr>
        <w:pStyle w:val="Heading2"/>
      </w:pPr>
      <w:r>
        <w:t>Flexible working practices will be applied in accordance with the service and operational needs of individual posts and wider teams, Schools and Professional Services.</w:t>
      </w:r>
    </w:p>
    <w:p w14:paraId="239D6458" w14:textId="51011A5B" w:rsidR="00817C3E" w:rsidRPr="00817C3E" w:rsidRDefault="00817C3E" w:rsidP="00817C3E"/>
    <w:p w14:paraId="1C5DBCAA" w14:textId="6EB9E50D" w:rsidR="005F07EC" w:rsidRDefault="00841447" w:rsidP="00A7385B">
      <w:pPr>
        <w:pStyle w:val="Heading2"/>
      </w:pPr>
      <w:r w:rsidRPr="00841447">
        <w:t xml:space="preserve">Employees have the statutory right to request a permanent </w:t>
      </w:r>
      <w:r w:rsidR="00367D18">
        <w:t xml:space="preserve">or temporary </w:t>
      </w:r>
      <w:r w:rsidRPr="00841447">
        <w:t>change to their working pattern</w:t>
      </w:r>
      <w:r w:rsidR="00A27CE1">
        <w:t xml:space="preserve">. </w:t>
      </w:r>
      <w:r w:rsidR="00A27CE1" w:rsidRPr="00A27CE1">
        <w:t xml:space="preserve"> </w:t>
      </w:r>
      <w:r w:rsidR="00A27CE1">
        <w:t xml:space="preserve">A temporary change is </w:t>
      </w:r>
      <w:r w:rsidR="00A27CE1" w:rsidRPr="00D917AA">
        <w:t>up to a maximum of 12 months</w:t>
      </w:r>
      <w:r w:rsidR="00365BC4">
        <w:t>.</w:t>
      </w:r>
    </w:p>
    <w:p w14:paraId="753BDE8B" w14:textId="77777777" w:rsidR="00365BC4" w:rsidRDefault="00365BC4" w:rsidP="00A7385B">
      <w:pPr>
        <w:pStyle w:val="ListParagraph"/>
      </w:pPr>
    </w:p>
    <w:p w14:paraId="645D6E63" w14:textId="77777777" w:rsidR="000003AD" w:rsidRDefault="00F969C7" w:rsidP="00A7385B">
      <w:pPr>
        <w:pStyle w:val="NormalWeb"/>
        <w:spacing w:before="0" w:beforeAutospacing="0" w:after="0" w:afterAutospacing="0"/>
        <w:rPr>
          <w:rFonts w:ascii="Arial" w:hAnsi="Arial" w:cs="Arial"/>
          <w:color w:val="000000"/>
        </w:rPr>
      </w:pPr>
      <w:r w:rsidRPr="00A7385B">
        <w:rPr>
          <w:rFonts w:ascii="Arial" w:eastAsiaTheme="majorEastAsia" w:hAnsi="Arial" w:cstheme="majorBidi"/>
          <w:color w:val="222A35" w:themeColor="text2" w:themeShade="80"/>
          <w:szCs w:val="26"/>
          <w:lang w:eastAsia="en-US"/>
        </w:rPr>
        <w:t>4.3</w:t>
      </w:r>
      <w:r>
        <w:t xml:space="preserve">     </w:t>
      </w:r>
      <w:r w:rsidR="000003AD" w:rsidRPr="00A7385B">
        <w:rPr>
          <w:rFonts w:ascii="Arial" w:hAnsi="Arial" w:cs="Arial"/>
        </w:rPr>
        <w:t xml:space="preserve">Flexible working applications will be </w:t>
      </w:r>
      <w:r w:rsidRPr="00A7385B">
        <w:rPr>
          <w:rFonts w:ascii="Arial" w:hAnsi="Arial" w:cs="Arial"/>
          <w:color w:val="000000"/>
        </w:rPr>
        <w:t>review</w:t>
      </w:r>
      <w:r w:rsidR="000003AD" w:rsidRPr="00A7385B">
        <w:rPr>
          <w:rFonts w:ascii="Arial" w:hAnsi="Arial" w:cs="Arial"/>
          <w:color w:val="000000"/>
        </w:rPr>
        <w:t>ed</w:t>
      </w:r>
      <w:r w:rsidRPr="00A7385B">
        <w:rPr>
          <w:rFonts w:ascii="Arial" w:hAnsi="Arial" w:cs="Arial"/>
          <w:color w:val="000000"/>
        </w:rPr>
        <w:t xml:space="preserve"> promptly and respond</w:t>
      </w:r>
      <w:r w:rsidR="000003AD" w:rsidRPr="00A7385B">
        <w:rPr>
          <w:rFonts w:ascii="Arial" w:hAnsi="Arial" w:cs="Arial"/>
          <w:color w:val="000000"/>
        </w:rPr>
        <w:t>ed to</w:t>
      </w:r>
    </w:p>
    <w:p w14:paraId="432367C8" w14:textId="72A2D68D" w:rsidR="00F969C7" w:rsidRPr="00A7385B" w:rsidRDefault="000003AD" w:rsidP="00A7385B">
      <w:pPr>
        <w:pStyle w:val="NormalWeb"/>
        <w:spacing w:before="0" w:beforeAutospacing="0" w:after="0" w:afterAutospacing="0"/>
        <w:rPr>
          <w:rFonts w:ascii="Arial" w:hAnsi="Arial" w:cs="Arial"/>
          <w:color w:val="000000"/>
        </w:rPr>
      </w:pPr>
      <w:r>
        <w:rPr>
          <w:rFonts w:ascii="Arial" w:hAnsi="Arial" w:cs="Arial"/>
          <w:color w:val="000000"/>
        </w:rPr>
        <w:t xml:space="preserve">         </w:t>
      </w:r>
      <w:r w:rsidR="00F969C7" w:rsidRPr="00A7385B">
        <w:rPr>
          <w:rFonts w:ascii="Arial" w:hAnsi="Arial" w:cs="Arial"/>
          <w:color w:val="000000"/>
        </w:rPr>
        <w:t>within</w:t>
      </w:r>
      <w:r>
        <w:rPr>
          <w:rFonts w:ascii="Arial" w:hAnsi="Arial" w:cs="Arial"/>
          <w:color w:val="000000"/>
        </w:rPr>
        <w:t xml:space="preserve"> </w:t>
      </w:r>
      <w:r w:rsidR="00F969C7" w:rsidRPr="00A7385B">
        <w:rPr>
          <w:rFonts w:ascii="Arial" w:hAnsi="Arial" w:cs="Arial"/>
          <w:color w:val="000000"/>
        </w:rPr>
        <w:t>two months, this includes timescales for any appeal process.</w:t>
      </w:r>
    </w:p>
    <w:p w14:paraId="0CD408D3" w14:textId="40513F5E" w:rsidR="00365BC4" w:rsidRDefault="00365BC4" w:rsidP="00817C3E">
      <w:pPr>
        <w:ind w:left="567" w:hanging="567"/>
      </w:pPr>
    </w:p>
    <w:p w14:paraId="17396690" w14:textId="6F620F95" w:rsidR="00827552" w:rsidRDefault="00827552" w:rsidP="002F26D4">
      <w:pPr>
        <w:pStyle w:val="Heading2"/>
        <w:numPr>
          <w:ilvl w:val="0"/>
          <w:numId w:val="0"/>
        </w:numPr>
        <w:ind w:left="567" w:hanging="567"/>
      </w:pPr>
      <w:r>
        <w:t>4.</w:t>
      </w:r>
      <w:r w:rsidR="00A1135E">
        <w:t>3</w:t>
      </w:r>
      <w:r>
        <w:t xml:space="preserve">    The University has the right to decline a Flexible Working Application</w:t>
      </w:r>
      <w:r w:rsidR="0084051B">
        <w:t xml:space="preserve"> if there</w:t>
      </w:r>
      <w:r w:rsidR="004A31C0">
        <w:t xml:space="preserve"> </w:t>
      </w:r>
      <w:r w:rsidR="0084051B">
        <w:t xml:space="preserve">  a</w:t>
      </w:r>
      <w:r w:rsidR="005A7324">
        <w:t>re</w:t>
      </w:r>
      <w:r w:rsidR="0084051B">
        <w:t xml:space="preserve"> legitimate business </w:t>
      </w:r>
      <w:r>
        <w:t>reasons</w:t>
      </w:r>
      <w:r w:rsidR="004A31C0">
        <w:t>,</w:t>
      </w:r>
      <w:r>
        <w:t xml:space="preserve"> as set out in </w:t>
      </w:r>
      <w:r w:rsidR="002F26D4">
        <w:t xml:space="preserve">legislation. Further information can be found in </w:t>
      </w:r>
      <w:r w:rsidR="005A7324">
        <w:t>6.</w:t>
      </w:r>
      <w:r w:rsidR="002F26D4">
        <w:t>4.</w:t>
      </w:r>
    </w:p>
    <w:p w14:paraId="04559B4D" w14:textId="77777777" w:rsidR="00827552" w:rsidRPr="005F07EC" w:rsidRDefault="00827552" w:rsidP="002F26D4"/>
    <w:p w14:paraId="785BBFC8" w14:textId="122022C9" w:rsidR="00CE2EBA" w:rsidRDefault="00CE2EBA" w:rsidP="00CE2EBA">
      <w:pPr>
        <w:pStyle w:val="Heading1"/>
      </w:pPr>
      <w:bookmarkStart w:id="11" w:name="_Toc142394198"/>
      <w:r>
        <w:t>Policy Framework</w:t>
      </w:r>
      <w:bookmarkEnd w:id="11"/>
    </w:p>
    <w:p w14:paraId="72D9617A" w14:textId="77777777" w:rsidR="00CE2EBA" w:rsidRDefault="00CE2EBA" w:rsidP="00CE2EBA"/>
    <w:p w14:paraId="187D6F0C" w14:textId="77D22936" w:rsidR="00CE2EBA" w:rsidRDefault="00CE2EBA" w:rsidP="00CE2EBA">
      <w:pPr>
        <w:pStyle w:val="Heading2"/>
        <w:numPr>
          <w:ilvl w:val="1"/>
          <w:numId w:val="31"/>
        </w:numPr>
      </w:pPr>
      <w:r>
        <w:t>The main elements of Cardiff Metropolitan University’s flexible working policy are:</w:t>
      </w:r>
    </w:p>
    <w:p w14:paraId="1F19DE3A" w14:textId="77777777" w:rsidR="00CE2EBA" w:rsidRDefault="00CE2EBA" w:rsidP="00CE2EBA"/>
    <w:p w14:paraId="09EAC9EA" w14:textId="7D1FA1B6" w:rsidR="00483FA1" w:rsidRDefault="00483FA1" w:rsidP="00483FA1">
      <w:pPr>
        <w:pStyle w:val="Heading3"/>
        <w:numPr>
          <w:ilvl w:val="2"/>
          <w:numId w:val="31"/>
        </w:numPr>
      </w:pPr>
      <w:r>
        <w:t xml:space="preserve">Flexible Working Hours – There are a range of flexible working options such as a nine-day fortnight, annualised hours, a mixture of office based and remote working, a temporary reduction or increase in working hours, that may meet service needs where there are planned peaks and troughs in workload, or when an employee needs a flexible work pattern to cope with competing work-life demands, e.g. caring responsibilities. </w:t>
      </w:r>
    </w:p>
    <w:p w14:paraId="4F21CE8C" w14:textId="77777777" w:rsidR="00483FA1" w:rsidRPr="00483FA1" w:rsidRDefault="00483FA1" w:rsidP="00582945"/>
    <w:p w14:paraId="4BB722E0" w14:textId="77777777" w:rsidR="003C1A4B" w:rsidRPr="003C1A4B" w:rsidRDefault="003C1A4B" w:rsidP="003C1A4B"/>
    <w:p w14:paraId="43E6800E" w14:textId="40260676" w:rsidR="003C1A4B" w:rsidRDefault="00CE2EBA" w:rsidP="00483FA1">
      <w:pPr>
        <w:pStyle w:val="Heading3"/>
        <w:numPr>
          <w:ilvl w:val="2"/>
          <w:numId w:val="31"/>
        </w:numPr>
      </w:pPr>
      <w:r>
        <w:t xml:space="preserve">Remote Working - Cardiff Metropolitan University will support remote working from home and other locations as a partial alternative to office work where this is appropriate.  Such arrangements can reduce carbon emissions and improve efficiency. Home working may also be considered as a reasonable adjustment for some employees. </w:t>
      </w:r>
    </w:p>
    <w:p w14:paraId="235E85BE" w14:textId="7C3D971F" w:rsidR="00070BAD" w:rsidRPr="00B72F9A" w:rsidRDefault="00070BAD" w:rsidP="00070BAD">
      <w:pPr>
        <w:rPr>
          <w:color w:val="000000" w:themeColor="text1"/>
        </w:rPr>
      </w:pPr>
    </w:p>
    <w:p w14:paraId="6A7E0324" w14:textId="390A1B44" w:rsidR="003C1A4B" w:rsidRPr="00B72F9A" w:rsidRDefault="00070BAD" w:rsidP="00483FA1">
      <w:pPr>
        <w:pStyle w:val="Heading3"/>
        <w:numPr>
          <w:ilvl w:val="2"/>
          <w:numId w:val="31"/>
        </w:numPr>
        <w:rPr>
          <w:color w:val="000000" w:themeColor="text1"/>
        </w:rPr>
      </w:pPr>
      <w:r w:rsidRPr="00B72F9A">
        <w:rPr>
          <w:color w:val="000000" w:themeColor="text1"/>
        </w:rPr>
        <w:t xml:space="preserve">Hybrid Working </w:t>
      </w:r>
      <w:r w:rsidR="00074EBD" w:rsidRPr="00B72F9A">
        <w:rPr>
          <w:color w:val="000000" w:themeColor="text1"/>
        </w:rPr>
        <w:t xml:space="preserve">- is a combination of working remotely (this is often at home) and on campus. On the </w:t>
      </w:r>
      <w:proofErr w:type="gramStart"/>
      <w:r w:rsidR="00074EBD" w:rsidRPr="00B72F9A">
        <w:rPr>
          <w:color w:val="000000" w:themeColor="text1"/>
        </w:rPr>
        <w:t>1</w:t>
      </w:r>
      <w:r w:rsidR="00074EBD" w:rsidRPr="00B72F9A">
        <w:rPr>
          <w:color w:val="000000" w:themeColor="text1"/>
          <w:vertAlign w:val="superscript"/>
        </w:rPr>
        <w:t>st</w:t>
      </w:r>
      <w:proofErr w:type="gramEnd"/>
      <w:r w:rsidR="00074EBD" w:rsidRPr="00B72F9A">
        <w:rPr>
          <w:color w:val="000000" w:themeColor="text1"/>
        </w:rPr>
        <w:t xml:space="preserve"> March 2022, the University </w:t>
      </w:r>
      <w:r w:rsidR="00247703" w:rsidRPr="00B72F9A">
        <w:rPr>
          <w:color w:val="000000" w:themeColor="text1"/>
        </w:rPr>
        <w:t>launch</w:t>
      </w:r>
      <w:r w:rsidR="00074EBD" w:rsidRPr="00B72F9A">
        <w:rPr>
          <w:color w:val="000000" w:themeColor="text1"/>
        </w:rPr>
        <w:t xml:space="preserve">ed a </w:t>
      </w:r>
      <w:r w:rsidR="00206938" w:rsidRPr="00B72F9A">
        <w:rPr>
          <w:color w:val="000000" w:themeColor="text1"/>
        </w:rPr>
        <w:t>pilot</w:t>
      </w:r>
      <w:r w:rsidR="00074EBD" w:rsidRPr="00B72F9A">
        <w:rPr>
          <w:color w:val="000000" w:themeColor="text1"/>
        </w:rPr>
        <w:t xml:space="preserve"> of hybrid working</w:t>
      </w:r>
      <w:r w:rsidR="00206938" w:rsidRPr="00B72F9A">
        <w:rPr>
          <w:color w:val="000000" w:themeColor="text1"/>
        </w:rPr>
        <w:t xml:space="preserve"> following the </w:t>
      </w:r>
      <w:r w:rsidR="00247703" w:rsidRPr="00B72F9A">
        <w:rPr>
          <w:color w:val="000000" w:themeColor="text1"/>
        </w:rPr>
        <w:t>success</w:t>
      </w:r>
      <w:r w:rsidR="00DF2EBE" w:rsidRPr="00B72F9A">
        <w:rPr>
          <w:color w:val="000000" w:themeColor="text1"/>
        </w:rPr>
        <w:t xml:space="preserve"> of remote working during the COVID-19 pandemic.</w:t>
      </w:r>
      <w:r w:rsidR="002722ED" w:rsidRPr="00B72F9A">
        <w:rPr>
          <w:color w:val="000000" w:themeColor="text1"/>
        </w:rPr>
        <w:t xml:space="preserve"> </w:t>
      </w:r>
      <w:r w:rsidR="000D49BB" w:rsidRPr="00B72F9A">
        <w:rPr>
          <w:color w:val="000000" w:themeColor="text1"/>
        </w:rPr>
        <w:t xml:space="preserve">While hybrid working </w:t>
      </w:r>
      <w:r w:rsidR="0016005F" w:rsidRPr="00B72F9A">
        <w:rPr>
          <w:color w:val="000000" w:themeColor="text1"/>
        </w:rPr>
        <w:t xml:space="preserve">comes under the umbrella of flexible working, the </w:t>
      </w:r>
      <w:r w:rsidR="002722ED" w:rsidRPr="00B72F9A">
        <w:rPr>
          <w:color w:val="000000" w:themeColor="text1"/>
        </w:rPr>
        <w:t xml:space="preserve">University </w:t>
      </w:r>
      <w:r w:rsidR="0016005F" w:rsidRPr="00B72F9A">
        <w:rPr>
          <w:color w:val="000000" w:themeColor="text1"/>
        </w:rPr>
        <w:t>is currently operating a</w:t>
      </w:r>
      <w:r w:rsidR="00665CD2" w:rsidRPr="00B72F9A">
        <w:rPr>
          <w:color w:val="000000" w:themeColor="text1"/>
        </w:rPr>
        <w:t xml:space="preserve"> “test and try”</w:t>
      </w:r>
      <w:r w:rsidR="0016005F" w:rsidRPr="00B72F9A">
        <w:rPr>
          <w:color w:val="000000" w:themeColor="text1"/>
        </w:rPr>
        <w:t xml:space="preserve"> of hybrid working </w:t>
      </w:r>
      <w:r w:rsidR="006732AD" w:rsidRPr="00B72F9A">
        <w:rPr>
          <w:color w:val="000000" w:themeColor="text1"/>
        </w:rPr>
        <w:t xml:space="preserve">to determine </w:t>
      </w:r>
      <w:r w:rsidR="00806AD2" w:rsidRPr="00B72F9A">
        <w:rPr>
          <w:color w:val="000000" w:themeColor="text1"/>
        </w:rPr>
        <w:t xml:space="preserve">what works best for the University, </w:t>
      </w:r>
      <w:r w:rsidR="00F8242C" w:rsidRPr="00B72F9A">
        <w:rPr>
          <w:color w:val="000000" w:themeColor="text1"/>
        </w:rPr>
        <w:t xml:space="preserve">for </w:t>
      </w:r>
      <w:r w:rsidR="0040563E" w:rsidRPr="00B72F9A">
        <w:rPr>
          <w:color w:val="000000" w:themeColor="text1"/>
        </w:rPr>
        <w:t>teams,</w:t>
      </w:r>
      <w:r w:rsidR="00806AD2" w:rsidRPr="00B72F9A">
        <w:rPr>
          <w:color w:val="000000" w:themeColor="text1"/>
        </w:rPr>
        <w:t xml:space="preserve"> and </w:t>
      </w:r>
      <w:r w:rsidR="00F8242C" w:rsidRPr="00B72F9A">
        <w:rPr>
          <w:color w:val="000000" w:themeColor="text1"/>
        </w:rPr>
        <w:t xml:space="preserve">for </w:t>
      </w:r>
      <w:r w:rsidR="00806AD2" w:rsidRPr="00B72F9A">
        <w:rPr>
          <w:color w:val="000000" w:themeColor="text1"/>
        </w:rPr>
        <w:t xml:space="preserve">staff. </w:t>
      </w:r>
      <w:r w:rsidR="0040563E" w:rsidRPr="00B72F9A">
        <w:rPr>
          <w:color w:val="000000" w:themeColor="text1"/>
        </w:rPr>
        <w:t xml:space="preserve">As such, </w:t>
      </w:r>
      <w:r w:rsidR="001C72DA" w:rsidRPr="00B72F9A">
        <w:rPr>
          <w:color w:val="000000" w:themeColor="text1"/>
        </w:rPr>
        <w:t>all statutory requests for flexible working will continue, however the ability to operate permanently in a hybrid model is still being reviewed and will be of a temporary nature at this stage.</w:t>
      </w:r>
    </w:p>
    <w:p w14:paraId="76B06D25" w14:textId="77777777" w:rsidR="003C1A4B" w:rsidRPr="003C1A4B" w:rsidRDefault="003C1A4B" w:rsidP="003C1A4B"/>
    <w:p w14:paraId="13D454AF" w14:textId="53C17851" w:rsidR="003C1A4B" w:rsidRDefault="00CE2EBA" w:rsidP="00483FA1">
      <w:pPr>
        <w:pStyle w:val="Heading3"/>
        <w:numPr>
          <w:ilvl w:val="2"/>
          <w:numId w:val="31"/>
        </w:numPr>
      </w:pPr>
      <w:r>
        <w:t xml:space="preserve">Job Share </w:t>
      </w:r>
      <w:r w:rsidR="003C1A4B">
        <w:t>Working -</w:t>
      </w:r>
      <w:r>
        <w:t xml:space="preserve"> Job share can be an extremely productive working arrangement and is promoted as a proactive method of recruiting to positions that cannot be filled on a part-time basis.  It needs to be clear to all parties of a job share arrangement that </w:t>
      </w:r>
      <w:proofErr w:type="gramStart"/>
      <w:r>
        <w:t>the neither</w:t>
      </w:r>
      <w:proofErr w:type="gramEnd"/>
      <w:r>
        <w:t xml:space="preserve"> job share partner has a “senior” status, and in the event of a job share partner leaving, then the arrangement can only continue if another partner is recruited.   </w:t>
      </w:r>
    </w:p>
    <w:p w14:paraId="4031A4DA" w14:textId="77777777" w:rsidR="003C1A4B" w:rsidRPr="003C1A4B" w:rsidRDefault="003C1A4B" w:rsidP="003C1A4B"/>
    <w:p w14:paraId="1D4546B1" w14:textId="77777777" w:rsidR="003C1A4B" w:rsidRDefault="00CE2EBA" w:rsidP="00483FA1">
      <w:pPr>
        <w:pStyle w:val="Heading3"/>
        <w:numPr>
          <w:ilvl w:val="2"/>
          <w:numId w:val="31"/>
        </w:numPr>
      </w:pPr>
      <w:r>
        <w:t xml:space="preserve">Part-time Working – Cardiff Metropolitan University employs </w:t>
      </w:r>
      <w:proofErr w:type="gramStart"/>
      <w:r>
        <w:t>a large number of</w:t>
      </w:r>
      <w:proofErr w:type="gramEnd"/>
      <w:r>
        <w:t xml:space="preserve"> employees in a range of part-time positions, e.g. term-time (part week or full week), full-year part-time (part week or full week.  Part-time employees are entitled to the same terms and conditions of comparable full-time employed within Cardiff Metropolitan University.  </w:t>
      </w:r>
    </w:p>
    <w:p w14:paraId="26D5393D" w14:textId="77777777" w:rsidR="003C1A4B" w:rsidRDefault="003C1A4B" w:rsidP="003C1A4B">
      <w:pPr>
        <w:pStyle w:val="Heading3"/>
        <w:numPr>
          <w:ilvl w:val="0"/>
          <w:numId w:val="0"/>
        </w:numPr>
        <w:ind w:left="720"/>
      </w:pPr>
    </w:p>
    <w:p w14:paraId="5870DA59" w14:textId="7DDA21D8" w:rsidR="003C1A4B" w:rsidRDefault="00CE2EBA" w:rsidP="00483FA1">
      <w:pPr>
        <w:pStyle w:val="Heading3"/>
        <w:numPr>
          <w:ilvl w:val="2"/>
          <w:numId w:val="31"/>
        </w:numPr>
      </w:pPr>
      <w:r>
        <w:t xml:space="preserve">Career Breaks  - A </w:t>
      </w:r>
      <w:hyperlink r:id="rId18" w:history="1">
        <w:r w:rsidRPr="000A4483">
          <w:rPr>
            <w:rStyle w:val="Hyperlink"/>
          </w:rPr>
          <w:t>career break</w:t>
        </w:r>
      </w:hyperlink>
      <w:r>
        <w:t xml:space="preserve"> may provide an employee with a substantial period of unpaid leave during which their length of service will be maintained. The expectation is that this opportunity will benefit Cardiff Metropolitan University as well as the employee.  Subject to there being a cost neutral effect to Cardiff Metropolitan University, including the provision of a suitably experienced replacement then a career break for up to one year may be agreed.  The employee can expect to return to a position of similar standing within the organisation; this may not be the same job. </w:t>
      </w:r>
    </w:p>
    <w:p w14:paraId="7ECE842E" w14:textId="77777777" w:rsidR="006D694A" w:rsidRPr="006D694A" w:rsidRDefault="006D694A" w:rsidP="00415CEC"/>
    <w:p w14:paraId="3EE21C8B" w14:textId="320DBEE7" w:rsidR="003C1A4B" w:rsidRPr="003C1A4B" w:rsidRDefault="006D694A" w:rsidP="003C1A4B">
      <w:pPr>
        <w:pStyle w:val="Heading3"/>
        <w:numPr>
          <w:ilvl w:val="2"/>
          <w:numId w:val="31"/>
        </w:numPr>
      </w:pPr>
      <w:r>
        <w:t xml:space="preserve">Flexitime Working - Flexitime can help employees to combine their work and personal responsibilities and can help workflow to be managed more efficiently. By staggering working times, employees can </w:t>
      </w:r>
      <w:proofErr w:type="gramStart"/>
      <w:r>
        <w:t>make a contribution</w:t>
      </w:r>
      <w:proofErr w:type="gramEnd"/>
      <w:r>
        <w:t xml:space="preserve"> </w:t>
      </w:r>
      <w:r>
        <w:lastRenderedPageBreak/>
        <w:t xml:space="preserve">to reducing traffic congestion at peak hours and reduce the need for overtime or TOIL. </w:t>
      </w:r>
    </w:p>
    <w:p w14:paraId="177CD243" w14:textId="34450F83" w:rsidR="00CE2EBA" w:rsidRDefault="00CE2EBA" w:rsidP="00483FA1">
      <w:pPr>
        <w:pStyle w:val="Heading3"/>
        <w:numPr>
          <w:ilvl w:val="2"/>
          <w:numId w:val="31"/>
        </w:numPr>
      </w:pPr>
      <w:r>
        <w:t xml:space="preserve">Discretionary Well-being Time - Three times a week, staff </w:t>
      </w:r>
      <w:proofErr w:type="gramStart"/>
      <w:r>
        <w:t>have the opportunity to</w:t>
      </w:r>
      <w:proofErr w:type="gramEnd"/>
      <w:r>
        <w:t xml:space="preserve"> take 15 minutes out of work for wellbeing activities. In these circumstances, the following principles will apply: </w:t>
      </w:r>
    </w:p>
    <w:p w14:paraId="2A9B0F03" w14:textId="77777777" w:rsidR="00CE2EBA" w:rsidRDefault="00CE2EBA" w:rsidP="00CE2EBA"/>
    <w:p w14:paraId="199BA22F" w14:textId="49E5FF3B" w:rsidR="00CE2EBA" w:rsidRDefault="00CE2EBA" w:rsidP="003C1A4B">
      <w:pPr>
        <w:pStyle w:val="ListParagraph"/>
        <w:numPr>
          <w:ilvl w:val="0"/>
          <w:numId w:val="33"/>
        </w:numPr>
      </w:pPr>
      <w:r>
        <w:t xml:space="preserve">Discretionary well-being time is a </w:t>
      </w:r>
      <w:r w:rsidR="003C1A4B">
        <w:t>benefit and</w:t>
      </w:r>
      <w:r>
        <w:t xml:space="preserve"> is not a contractual right.</w:t>
      </w:r>
    </w:p>
    <w:p w14:paraId="02A9B27B" w14:textId="414CD7CC" w:rsidR="00CE2EBA" w:rsidRDefault="00CE2EBA" w:rsidP="003C1A4B">
      <w:pPr>
        <w:pStyle w:val="ListParagraph"/>
        <w:numPr>
          <w:ilvl w:val="0"/>
          <w:numId w:val="33"/>
        </w:numPr>
      </w:pPr>
      <w:r>
        <w:t>This is not a reduction in working hours and employees must ensure that they make the time up and fulfil their contractual hours.</w:t>
      </w:r>
    </w:p>
    <w:p w14:paraId="1650BC8B" w14:textId="17DFE890" w:rsidR="00CE2EBA" w:rsidRDefault="00CE2EBA" w:rsidP="003C1A4B">
      <w:pPr>
        <w:pStyle w:val="ListParagraph"/>
        <w:numPr>
          <w:ilvl w:val="0"/>
          <w:numId w:val="33"/>
        </w:numPr>
      </w:pPr>
      <w:r>
        <w:t>Employees must seek prior approval from managers before taking discretionary well-being time.</w:t>
      </w:r>
    </w:p>
    <w:p w14:paraId="03E9A7D8" w14:textId="1740103E" w:rsidR="00A1135E" w:rsidRDefault="00A1135E" w:rsidP="00F75929">
      <w:pPr>
        <w:pStyle w:val="ListParagraph"/>
      </w:pPr>
    </w:p>
    <w:p w14:paraId="47C66D98" w14:textId="11D63BE2" w:rsidR="00F75929" w:rsidRDefault="00F75929" w:rsidP="003E35A1">
      <w:pPr>
        <w:pStyle w:val="ListParagraph"/>
      </w:pPr>
      <w:r>
        <w:t xml:space="preserve">The University fully supports employees to engage in activities which support their physical and mental health and well-being during lunch breaks and before and after the working day.  While persistent lateness is not acceptable managers are expected to allow a reasonable amount of discretion and flexibility in these circumstances. </w:t>
      </w:r>
    </w:p>
    <w:p w14:paraId="74BE5F88" w14:textId="3DEB5231" w:rsidR="009A0C1B" w:rsidRPr="001920AF" w:rsidRDefault="008808CF" w:rsidP="001920AF">
      <w:pPr>
        <w:pStyle w:val="Heading1"/>
      </w:pPr>
      <w:bookmarkStart w:id="12" w:name="_Toc142394199"/>
      <w:bookmarkStart w:id="13" w:name="_Hlk132365290"/>
      <w:r w:rsidRPr="001920AF">
        <w:t>Eligibility</w:t>
      </w:r>
      <w:r w:rsidR="0039772B" w:rsidRPr="001920AF">
        <w:t xml:space="preserve"> and Procedure</w:t>
      </w:r>
      <w:bookmarkEnd w:id="12"/>
    </w:p>
    <w:bookmarkEnd w:id="13"/>
    <w:p w14:paraId="31B6BB36" w14:textId="4A38E6C0" w:rsidR="00BC566C" w:rsidRDefault="00BC566C" w:rsidP="00BC566C"/>
    <w:p w14:paraId="19CEBFC8" w14:textId="113C4267" w:rsidR="00D73410" w:rsidRPr="001F1805" w:rsidRDefault="00BC566C" w:rsidP="001F1805">
      <w:pPr>
        <w:pStyle w:val="Heading2"/>
        <w:numPr>
          <w:ilvl w:val="1"/>
          <w:numId w:val="31"/>
        </w:numPr>
      </w:pPr>
      <w:r w:rsidRPr="00A7385B">
        <w:t xml:space="preserve">Should employees wish to make a formal request to work flexibly, they should do so in accordance with the University’s Guidance which can be found on the People Services </w:t>
      </w:r>
      <w:r w:rsidR="00CB4D6A" w:rsidRPr="00A7385B">
        <w:t>I</w:t>
      </w:r>
      <w:r w:rsidR="00D93573" w:rsidRPr="00A7385B">
        <w:t xml:space="preserve">nsite </w:t>
      </w:r>
      <w:r w:rsidR="001771F7" w:rsidRPr="00A7385B">
        <w:t>page</w:t>
      </w:r>
      <w:r w:rsidRPr="00A7385B">
        <w:t>.</w:t>
      </w:r>
      <w:r w:rsidR="001F1805">
        <w:t xml:space="preserve"> </w:t>
      </w:r>
      <w:r w:rsidR="00F548C3" w:rsidRPr="00A7385B">
        <w:t xml:space="preserve">Line managers </w:t>
      </w:r>
      <w:r w:rsidR="00F548C3" w:rsidRPr="001F1805">
        <w:rPr>
          <w:szCs w:val="24"/>
        </w:rPr>
        <w:t xml:space="preserve">should </w:t>
      </w:r>
      <w:r w:rsidR="00F548C3" w:rsidRPr="001F1805">
        <w:rPr>
          <w:color w:val="000000"/>
          <w:szCs w:val="24"/>
        </w:rPr>
        <w:t>liaise with People Services prior to approving the request if advice or guidance is re</w:t>
      </w:r>
      <w:r w:rsidR="004D316B" w:rsidRPr="001F1805">
        <w:rPr>
          <w:color w:val="000000"/>
          <w:szCs w:val="24"/>
        </w:rPr>
        <w:t>quired</w:t>
      </w:r>
      <w:r w:rsidR="002104C2" w:rsidRPr="001F1805">
        <w:rPr>
          <w:color w:val="000000"/>
          <w:szCs w:val="24"/>
        </w:rPr>
        <w:t xml:space="preserve"> and a People Services representative can attend where appropriate. </w:t>
      </w:r>
    </w:p>
    <w:p w14:paraId="14FA5046" w14:textId="13398F6D" w:rsidR="00581711" w:rsidRPr="00A7385B" w:rsidRDefault="005A5EE5" w:rsidP="00483FA1">
      <w:pPr>
        <w:pStyle w:val="Heading2"/>
        <w:numPr>
          <w:ilvl w:val="1"/>
          <w:numId w:val="31"/>
        </w:numPr>
      </w:pPr>
      <w:r w:rsidRPr="00A7385B">
        <w:t>E</w:t>
      </w:r>
      <w:r w:rsidR="00581711" w:rsidRPr="00A7385B">
        <w:t xml:space="preserve">mployees </w:t>
      </w:r>
      <w:r w:rsidR="00B102DF" w:rsidRPr="00A7385B">
        <w:t xml:space="preserve">can </w:t>
      </w:r>
      <w:r w:rsidR="00581711" w:rsidRPr="00A7385B">
        <w:t xml:space="preserve">make </w:t>
      </w:r>
      <w:r w:rsidR="00B102DF" w:rsidRPr="00A7385B">
        <w:t>two</w:t>
      </w:r>
      <w:r w:rsidR="00581711" w:rsidRPr="00A7385B">
        <w:t xml:space="preserve"> flexible working requests in any 12-month period</w:t>
      </w:r>
    </w:p>
    <w:p w14:paraId="224011CE" w14:textId="78A2910B" w:rsidR="00B209C2" w:rsidRPr="00A7385B" w:rsidRDefault="00B209C2" w:rsidP="00483FA1">
      <w:pPr>
        <w:pStyle w:val="Heading2"/>
        <w:numPr>
          <w:ilvl w:val="1"/>
          <w:numId w:val="31"/>
        </w:numPr>
      </w:pPr>
      <w:r w:rsidRPr="00A7385B">
        <w:t xml:space="preserve">Employees </w:t>
      </w:r>
      <w:r w:rsidR="00620439" w:rsidRPr="00A7385B">
        <w:t>have the right to request flexible working from day one of employment.</w:t>
      </w:r>
    </w:p>
    <w:p w14:paraId="44E91715" w14:textId="4623CBD1" w:rsidR="00250DFF" w:rsidRDefault="00250DFF" w:rsidP="00483FA1">
      <w:pPr>
        <w:pStyle w:val="Heading2"/>
        <w:numPr>
          <w:ilvl w:val="1"/>
          <w:numId w:val="31"/>
        </w:numPr>
      </w:pPr>
      <w:bookmarkStart w:id="14" w:name="_Hlk132370435"/>
      <w:r>
        <w:t xml:space="preserve">The University </w:t>
      </w:r>
      <w:r w:rsidR="00803CA6">
        <w:t xml:space="preserve">has </w:t>
      </w:r>
      <w:r>
        <w:t xml:space="preserve">the right to decline a </w:t>
      </w:r>
      <w:r w:rsidR="00803CA6">
        <w:t>F</w:t>
      </w:r>
      <w:r>
        <w:t>lexible Working Application.</w:t>
      </w:r>
    </w:p>
    <w:p w14:paraId="13DE86D2" w14:textId="6ACBBDA3" w:rsidR="001F6C9E" w:rsidRDefault="00D2345B" w:rsidP="00C36784">
      <w:pPr>
        <w:ind w:left="567" w:hanging="567"/>
      </w:pPr>
      <w:r>
        <w:t xml:space="preserve">         </w:t>
      </w:r>
      <w:r w:rsidR="00224DE9">
        <w:t>If t</w:t>
      </w:r>
      <w:r w:rsidR="00B209C2" w:rsidRPr="00B209C2">
        <w:t>he University decline</w:t>
      </w:r>
      <w:r w:rsidR="00224DE9">
        <w:t xml:space="preserve">s a </w:t>
      </w:r>
      <w:r w:rsidR="00B209C2" w:rsidRPr="00B209C2">
        <w:t>flexible working application</w:t>
      </w:r>
      <w:r w:rsidR="00A7385B">
        <w:t>,</w:t>
      </w:r>
      <w:r w:rsidR="008D56E8">
        <w:t xml:space="preserve"> it must be for at least one of </w:t>
      </w:r>
      <w:r w:rsidR="001F6C9E">
        <w:t>the following business reasons as set out in the legislation</w:t>
      </w:r>
      <w:bookmarkEnd w:id="14"/>
      <w:r w:rsidR="001F6C9E">
        <w:t>:</w:t>
      </w:r>
    </w:p>
    <w:p w14:paraId="64F5291B" w14:textId="014EFA5A" w:rsidR="001F6C9E" w:rsidRDefault="00E32C01" w:rsidP="001F6C9E">
      <w:r>
        <w:t>6.4.1</w:t>
      </w:r>
      <w:r w:rsidR="001F6C9E">
        <w:t xml:space="preserve"> The burden of additional costs</w:t>
      </w:r>
    </w:p>
    <w:p w14:paraId="50E8C75C" w14:textId="2F96638B" w:rsidR="001F6C9E" w:rsidRDefault="00E32C01" w:rsidP="001F6C9E">
      <w:r>
        <w:t>6.4.2</w:t>
      </w:r>
      <w:r w:rsidR="001F6C9E">
        <w:t xml:space="preserve"> An inability to reorganise work amongst existing staff</w:t>
      </w:r>
      <w:r w:rsidR="00704855">
        <w:t>.</w:t>
      </w:r>
    </w:p>
    <w:p w14:paraId="423AF6CC" w14:textId="767F9A84" w:rsidR="001F6C9E" w:rsidRDefault="00E32C01" w:rsidP="001F6C9E">
      <w:r>
        <w:t>6.4.3</w:t>
      </w:r>
      <w:r w:rsidR="001F6C9E">
        <w:t xml:space="preserve"> An inability to recruit additional staff</w:t>
      </w:r>
      <w:r w:rsidR="00704855">
        <w:t>.</w:t>
      </w:r>
    </w:p>
    <w:p w14:paraId="7D8BA367" w14:textId="0CD6A420" w:rsidR="001F6C9E" w:rsidRDefault="007933C0" w:rsidP="001F6C9E">
      <w:r>
        <w:t xml:space="preserve">6.4.4 </w:t>
      </w:r>
      <w:r w:rsidR="001F6C9E">
        <w:t>A detrimental impact on quality</w:t>
      </w:r>
    </w:p>
    <w:p w14:paraId="741AF170" w14:textId="0980469E" w:rsidR="001F6C9E" w:rsidRDefault="007933C0" w:rsidP="001F6C9E">
      <w:r>
        <w:t>6.4.5</w:t>
      </w:r>
      <w:r w:rsidR="001F6C9E">
        <w:t xml:space="preserve"> A detrimental impact on performance</w:t>
      </w:r>
    </w:p>
    <w:p w14:paraId="39A001C9" w14:textId="40CC963A" w:rsidR="001F6C9E" w:rsidRDefault="007933C0" w:rsidP="001F6C9E">
      <w:r>
        <w:t>6.4.6</w:t>
      </w:r>
      <w:r w:rsidR="001F6C9E">
        <w:t xml:space="preserve"> Detrimental effect on ability to meet customer demand</w:t>
      </w:r>
      <w:r w:rsidR="00704855">
        <w:t>.</w:t>
      </w:r>
    </w:p>
    <w:p w14:paraId="7A64BA2B" w14:textId="373B1031" w:rsidR="001F6C9E" w:rsidRDefault="002A1E3D" w:rsidP="001F6C9E">
      <w:r>
        <w:t>6.4.7</w:t>
      </w:r>
      <w:r w:rsidR="001F6C9E">
        <w:t xml:space="preserve"> Insufficient work for the periods the employee proposes to work</w:t>
      </w:r>
      <w:r w:rsidR="00704855">
        <w:t>.</w:t>
      </w:r>
    </w:p>
    <w:p w14:paraId="1D500238" w14:textId="26F05F15" w:rsidR="00B209C2" w:rsidRDefault="002A1E3D" w:rsidP="001F6C9E">
      <w:r>
        <w:t>6.4.8</w:t>
      </w:r>
      <w:r w:rsidR="001F6C9E">
        <w:t xml:space="preserve"> A planned structural change to your business</w:t>
      </w:r>
      <w:r w:rsidR="00704855">
        <w:t>.</w:t>
      </w:r>
    </w:p>
    <w:p w14:paraId="0056D71A" w14:textId="6C0FF6BC" w:rsidR="000E05EF" w:rsidRDefault="000E05EF" w:rsidP="00267CB7">
      <w:pPr>
        <w:pStyle w:val="Heading1"/>
      </w:pPr>
      <w:bookmarkStart w:id="15" w:name="_Toc142394200"/>
      <w:r w:rsidRPr="00084C9A">
        <w:lastRenderedPageBreak/>
        <w:t>Appealing the decision</w:t>
      </w:r>
      <w:bookmarkEnd w:id="15"/>
    </w:p>
    <w:p w14:paraId="3E33BFBC" w14:textId="77777777" w:rsidR="00267CB7" w:rsidRPr="00267CB7" w:rsidRDefault="00267CB7" w:rsidP="00267CB7"/>
    <w:p w14:paraId="2EB74D2C" w14:textId="1DC4C798" w:rsidR="000E05EF" w:rsidRDefault="000E05EF" w:rsidP="00267CB7">
      <w:pPr>
        <w:pStyle w:val="Heading2"/>
      </w:pPr>
      <w:r w:rsidRPr="0066363C">
        <w:t xml:space="preserve">An employee who wishes to appeal Cardiff Metropolitan University’s decision to reject their request should submit their appeal in writing to the Director of </w:t>
      </w:r>
      <w:r w:rsidR="00092F7F" w:rsidRPr="0066363C">
        <w:t>People Services</w:t>
      </w:r>
      <w:r w:rsidRPr="0066363C">
        <w:t>. The appeal should be submitted within 7 days of receiving Cardiff Metropolitan University’s decision.</w:t>
      </w:r>
    </w:p>
    <w:p w14:paraId="71494E68" w14:textId="77777777" w:rsidR="00D73410" w:rsidRPr="00D73410" w:rsidRDefault="00D73410" w:rsidP="00D73410"/>
    <w:p w14:paraId="4493E2B1" w14:textId="240A40C3" w:rsidR="000E05EF" w:rsidRDefault="000E05EF" w:rsidP="00267CB7">
      <w:pPr>
        <w:pStyle w:val="Heading2"/>
      </w:pPr>
      <w:r w:rsidRPr="0066363C">
        <w:t>The grounds of the appeal must be stated and dated.</w:t>
      </w:r>
    </w:p>
    <w:p w14:paraId="74CBA065" w14:textId="77777777" w:rsidR="00D73410" w:rsidRPr="00D73410" w:rsidRDefault="00D73410" w:rsidP="00D73410"/>
    <w:p w14:paraId="7587FDE2" w14:textId="79262B6C" w:rsidR="000E05EF" w:rsidRDefault="000E05EF" w:rsidP="00267CB7">
      <w:pPr>
        <w:pStyle w:val="Heading2"/>
      </w:pPr>
      <w:r w:rsidRPr="0066363C">
        <w:t xml:space="preserve">Cardiff Metropolitan University will arrange an appeal meeting normally within 14 days after receiving notification that the employee wishes to appeal. The </w:t>
      </w:r>
      <w:r w:rsidR="00204F5F">
        <w:t xml:space="preserve">employee will have 5 </w:t>
      </w:r>
      <w:r w:rsidR="00C36784">
        <w:t>days’ notice</w:t>
      </w:r>
      <w:r w:rsidR="00204F5F">
        <w:t xml:space="preserve"> of the </w:t>
      </w:r>
      <w:proofErr w:type="gramStart"/>
      <w:r w:rsidR="00204F5F">
        <w:t>meeting</w:t>
      </w:r>
      <w:proofErr w:type="gramEnd"/>
      <w:r w:rsidR="0017221F">
        <w:t xml:space="preserve"> and the </w:t>
      </w:r>
      <w:r w:rsidRPr="0066363C">
        <w:t>meeting will be held by a more senior manager (unless not reasonably practicable) than the manager who considered the request at the previous stage.</w:t>
      </w:r>
    </w:p>
    <w:p w14:paraId="06AB689A" w14:textId="77777777" w:rsidR="00D73410" w:rsidRPr="00D73410" w:rsidRDefault="00D73410" w:rsidP="00D73410"/>
    <w:p w14:paraId="6073CF26" w14:textId="36759E8E" w:rsidR="000E05EF" w:rsidRDefault="000E05EF" w:rsidP="00267CB7">
      <w:pPr>
        <w:pStyle w:val="Heading2"/>
      </w:pPr>
      <w:r w:rsidRPr="0066363C">
        <w:t>The employee is entitled to bring a work colleague or Trade Union Representative</w:t>
      </w:r>
      <w:r w:rsidRPr="00084C9A">
        <w:t xml:space="preserve"> with them to the appeal meeting.</w:t>
      </w:r>
    </w:p>
    <w:p w14:paraId="2470B186" w14:textId="77777777" w:rsidR="00D73410" w:rsidRPr="00D73410" w:rsidRDefault="00D73410" w:rsidP="00D73410"/>
    <w:p w14:paraId="626356A4" w14:textId="43270B3B" w:rsidR="000E05EF" w:rsidRDefault="000E05EF" w:rsidP="00267CB7">
      <w:pPr>
        <w:pStyle w:val="Heading2"/>
      </w:pPr>
      <w:r w:rsidRPr="00084C9A">
        <w:t>Cardiff Metropolitan University will inform the employee of the outcome of the appeal in writing normally within 14 days after the date of the meeting.</w:t>
      </w:r>
    </w:p>
    <w:p w14:paraId="35378A26" w14:textId="77777777" w:rsidR="00D73410" w:rsidRPr="00D73410" w:rsidRDefault="00D73410" w:rsidP="00D73410"/>
    <w:p w14:paraId="4665B949" w14:textId="0E1D1EA0" w:rsidR="000E05EF" w:rsidRDefault="000E05EF" w:rsidP="00267CB7">
      <w:pPr>
        <w:pStyle w:val="Heading2"/>
        <w:numPr>
          <w:ilvl w:val="1"/>
          <w:numId w:val="35"/>
        </w:numPr>
      </w:pPr>
      <w:r>
        <w:t xml:space="preserve">Should the </w:t>
      </w:r>
      <w:r w:rsidRPr="00267CB7">
        <w:t>appeal</w:t>
      </w:r>
      <w:r>
        <w:t xml:space="preserve"> be upheld the written decision will:</w:t>
      </w:r>
    </w:p>
    <w:p w14:paraId="5FE0CD18" w14:textId="7B42C4E5" w:rsidR="000E05EF" w:rsidRDefault="000E05EF" w:rsidP="00267CB7">
      <w:pPr>
        <w:pStyle w:val="Heading3"/>
        <w:numPr>
          <w:ilvl w:val="2"/>
          <w:numId w:val="31"/>
        </w:numPr>
        <w:spacing w:before="0" w:line="240" w:lineRule="auto"/>
      </w:pPr>
      <w:r>
        <w:t>include a description of the new working pattern</w:t>
      </w:r>
      <w:r w:rsidR="00AB66EC">
        <w:t>.</w:t>
      </w:r>
    </w:p>
    <w:p w14:paraId="266E9C08" w14:textId="561D247F" w:rsidR="000E05EF" w:rsidRDefault="000E05EF" w:rsidP="00267CB7">
      <w:pPr>
        <w:pStyle w:val="Heading3"/>
        <w:numPr>
          <w:ilvl w:val="2"/>
          <w:numId w:val="31"/>
        </w:numPr>
        <w:spacing w:before="0" w:line="240" w:lineRule="auto"/>
      </w:pPr>
      <w:r>
        <w:t>state the date from which the new working pattern is to take effect</w:t>
      </w:r>
      <w:r w:rsidR="00AB66EC">
        <w:t>.</w:t>
      </w:r>
    </w:p>
    <w:p w14:paraId="6E66829D" w14:textId="77777777" w:rsidR="00D73410" w:rsidRPr="00D73410" w:rsidRDefault="00D73410" w:rsidP="00D73410"/>
    <w:p w14:paraId="7C64A64F" w14:textId="0A451ED4" w:rsidR="000E05EF" w:rsidRDefault="000E05EF" w:rsidP="00C36784">
      <w:pPr>
        <w:pStyle w:val="Heading2"/>
        <w:numPr>
          <w:ilvl w:val="1"/>
          <w:numId w:val="31"/>
        </w:numPr>
        <w:spacing w:before="0" w:line="240" w:lineRule="auto"/>
      </w:pPr>
      <w:r>
        <w:t>Should the appeal be dismissed the written decision will:</w:t>
      </w:r>
    </w:p>
    <w:p w14:paraId="7725DCBC" w14:textId="7B5B4A31" w:rsidR="000E05EF" w:rsidRDefault="000E05EF" w:rsidP="00C36784">
      <w:pPr>
        <w:pStyle w:val="Heading3"/>
        <w:numPr>
          <w:ilvl w:val="2"/>
          <w:numId w:val="31"/>
        </w:numPr>
        <w:spacing w:before="0" w:line="240" w:lineRule="auto"/>
      </w:pPr>
      <w:r>
        <w:t>State the business reasons for the decision (these will be appropriate to the employee’s own grounds for making the appeal). The business reasons must fall into at least one of the following categories:</w:t>
      </w:r>
    </w:p>
    <w:p w14:paraId="35B50702" w14:textId="502A2AEF" w:rsidR="000E05EF" w:rsidRDefault="000E05EF" w:rsidP="00C36784">
      <w:pPr>
        <w:pStyle w:val="Heading4"/>
        <w:numPr>
          <w:ilvl w:val="3"/>
          <w:numId w:val="31"/>
        </w:numPr>
        <w:spacing w:before="0" w:line="240" w:lineRule="auto"/>
      </w:pPr>
      <w:r>
        <w:t>Burden of additional costs</w:t>
      </w:r>
    </w:p>
    <w:p w14:paraId="6D9B87AF" w14:textId="4CA60E30" w:rsidR="000E05EF" w:rsidRDefault="000E05EF" w:rsidP="00C36784">
      <w:pPr>
        <w:pStyle w:val="Heading4"/>
        <w:numPr>
          <w:ilvl w:val="3"/>
          <w:numId w:val="31"/>
        </w:numPr>
        <w:spacing w:before="0" w:line="240" w:lineRule="auto"/>
      </w:pPr>
      <w:r>
        <w:t>Detrimental effect on ability to meet customer demand</w:t>
      </w:r>
    </w:p>
    <w:p w14:paraId="6318F586" w14:textId="5DB94A2E" w:rsidR="000E05EF" w:rsidRDefault="000E05EF" w:rsidP="00C36784">
      <w:pPr>
        <w:pStyle w:val="Heading4"/>
        <w:numPr>
          <w:ilvl w:val="3"/>
          <w:numId w:val="31"/>
        </w:numPr>
        <w:spacing w:before="0" w:line="240" w:lineRule="auto"/>
      </w:pPr>
      <w:r>
        <w:t>Inability to reorganise work among existing staff</w:t>
      </w:r>
    </w:p>
    <w:p w14:paraId="63B31E26" w14:textId="191E176B" w:rsidR="000E05EF" w:rsidRDefault="000E05EF" w:rsidP="00C36784">
      <w:pPr>
        <w:pStyle w:val="Heading4"/>
        <w:numPr>
          <w:ilvl w:val="3"/>
          <w:numId w:val="31"/>
        </w:numPr>
        <w:spacing w:before="0" w:line="240" w:lineRule="auto"/>
      </w:pPr>
      <w:r>
        <w:t>Inability to recruit additional staff</w:t>
      </w:r>
    </w:p>
    <w:p w14:paraId="1A3B025F" w14:textId="1145AB62" w:rsidR="000E05EF" w:rsidRDefault="000E05EF" w:rsidP="00C36784">
      <w:pPr>
        <w:pStyle w:val="Heading4"/>
        <w:numPr>
          <w:ilvl w:val="3"/>
          <w:numId w:val="31"/>
        </w:numPr>
        <w:spacing w:before="0" w:line="240" w:lineRule="auto"/>
      </w:pPr>
      <w:r>
        <w:t>Detrimental impact on quality</w:t>
      </w:r>
    </w:p>
    <w:p w14:paraId="1D353EB3" w14:textId="35956984" w:rsidR="000E05EF" w:rsidRDefault="000E05EF" w:rsidP="00C36784">
      <w:pPr>
        <w:pStyle w:val="Heading4"/>
        <w:numPr>
          <w:ilvl w:val="3"/>
          <w:numId w:val="31"/>
        </w:numPr>
        <w:spacing w:before="0" w:line="240" w:lineRule="auto"/>
      </w:pPr>
      <w:r>
        <w:t>Detrimental impact on performance</w:t>
      </w:r>
    </w:p>
    <w:p w14:paraId="5ACD4AAA" w14:textId="46775EDE" w:rsidR="000E05EF" w:rsidRDefault="00914C6E" w:rsidP="00C36784">
      <w:pPr>
        <w:pStyle w:val="Heading4"/>
        <w:numPr>
          <w:ilvl w:val="0"/>
          <w:numId w:val="0"/>
        </w:numPr>
        <w:spacing w:before="0" w:line="240" w:lineRule="auto"/>
        <w:ind w:left="864" w:hanging="864"/>
      </w:pPr>
      <w:proofErr w:type="gramStart"/>
      <w:r>
        <w:t>7</w:t>
      </w:r>
      <w:r w:rsidR="000E05EF">
        <w:t xml:space="preserve">.7.1.7 </w:t>
      </w:r>
      <w:r w:rsidR="00366DCB">
        <w:t xml:space="preserve"> </w:t>
      </w:r>
      <w:r w:rsidR="000E05EF">
        <w:t>Insufficiency</w:t>
      </w:r>
      <w:proofErr w:type="gramEnd"/>
      <w:r w:rsidR="000E05EF">
        <w:t xml:space="preserve"> of work during the periods the employee proposes to work</w:t>
      </w:r>
    </w:p>
    <w:p w14:paraId="3C8B99B7" w14:textId="4993D326" w:rsidR="000E05EF" w:rsidRDefault="000E05EF" w:rsidP="00C36784">
      <w:pPr>
        <w:pStyle w:val="Heading4"/>
        <w:numPr>
          <w:ilvl w:val="3"/>
          <w:numId w:val="36"/>
        </w:numPr>
        <w:spacing w:before="0" w:line="240" w:lineRule="auto"/>
      </w:pPr>
      <w:r>
        <w:t>Planned structural changes.</w:t>
      </w:r>
    </w:p>
    <w:p w14:paraId="65A1882F" w14:textId="77777777" w:rsidR="003E35A1" w:rsidRDefault="003E35A1" w:rsidP="00D73410">
      <w:pPr>
        <w:pStyle w:val="Heading3"/>
        <w:numPr>
          <w:ilvl w:val="2"/>
          <w:numId w:val="36"/>
        </w:numPr>
        <w:spacing w:before="0" w:line="240" w:lineRule="auto"/>
      </w:pPr>
      <w:r>
        <w:t xml:space="preserve">  </w:t>
      </w:r>
      <w:r w:rsidR="00C36784">
        <w:t>P</w:t>
      </w:r>
      <w:r w:rsidR="000E05EF">
        <w:t>rovide an explanation as to why the reasons for refusal apply in the</w:t>
      </w:r>
    </w:p>
    <w:p w14:paraId="63CF4237" w14:textId="5F8C4A46" w:rsidR="000E05EF" w:rsidRDefault="000E05EF" w:rsidP="003E35A1">
      <w:pPr>
        <w:pStyle w:val="Heading3"/>
        <w:numPr>
          <w:ilvl w:val="0"/>
          <w:numId w:val="0"/>
        </w:numPr>
        <w:spacing w:before="0" w:line="240" w:lineRule="auto"/>
        <w:ind w:left="720"/>
      </w:pPr>
      <w:r>
        <w:t xml:space="preserve"> </w:t>
      </w:r>
      <w:r w:rsidR="00C36784">
        <w:t xml:space="preserve"> </w:t>
      </w:r>
      <w:r>
        <w:t>circumstances.</w:t>
      </w:r>
    </w:p>
    <w:p w14:paraId="6C06CD06" w14:textId="77777777" w:rsidR="00D73410" w:rsidRPr="00D73410" w:rsidRDefault="00D73410" w:rsidP="00D73410"/>
    <w:p w14:paraId="5FBD1F1A" w14:textId="27627F38" w:rsidR="00110B28" w:rsidRDefault="000E05EF" w:rsidP="003E35A1">
      <w:pPr>
        <w:pStyle w:val="Heading2"/>
      </w:pPr>
      <w:r w:rsidRPr="0017221F">
        <w:t>Written notice of the appeal outcome constitutes Cardiff Metropolitan University’s final decision. There is no right to raise a separate grievance in relation to a request of this nature.</w:t>
      </w:r>
    </w:p>
    <w:p w14:paraId="5EB1BE07" w14:textId="5F6278B2" w:rsidR="009272C3" w:rsidRDefault="009272C3" w:rsidP="00483FA1">
      <w:pPr>
        <w:pStyle w:val="Heading1"/>
        <w:numPr>
          <w:ilvl w:val="0"/>
          <w:numId w:val="31"/>
        </w:numPr>
      </w:pPr>
      <w:bookmarkStart w:id="16" w:name="_Toc142394201"/>
      <w:r>
        <w:lastRenderedPageBreak/>
        <w:t>Policy Statement Revision</w:t>
      </w:r>
      <w:bookmarkEnd w:id="16"/>
    </w:p>
    <w:p w14:paraId="4482EB7A" w14:textId="6D908534" w:rsidR="00404A8A" w:rsidRDefault="00404A8A" w:rsidP="00404A8A"/>
    <w:p w14:paraId="73927EAE" w14:textId="7AF29B74" w:rsidR="00404A8A" w:rsidRDefault="00404A8A" w:rsidP="00404A8A">
      <w:pPr>
        <w:pStyle w:val="Heading2"/>
        <w:numPr>
          <w:ilvl w:val="1"/>
          <w:numId w:val="34"/>
        </w:numPr>
      </w:pPr>
      <w:r>
        <w:t>The People Services Department will proactively advise, support, and monitor the application of this policy and procedure.</w:t>
      </w:r>
    </w:p>
    <w:p w14:paraId="5612D404" w14:textId="77777777" w:rsidR="00404A8A" w:rsidRDefault="00404A8A" w:rsidP="00404A8A">
      <w:pPr>
        <w:pStyle w:val="Heading2"/>
        <w:numPr>
          <w:ilvl w:val="0"/>
          <w:numId w:val="0"/>
        </w:numPr>
        <w:ind w:left="576"/>
      </w:pPr>
    </w:p>
    <w:p w14:paraId="5C530C95" w14:textId="1DAC0DDD" w:rsidR="00404A8A" w:rsidRPr="00404A8A" w:rsidRDefault="00404A8A" w:rsidP="00483FA1">
      <w:pPr>
        <w:pStyle w:val="Heading2"/>
        <w:numPr>
          <w:ilvl w:val="1"/>
          <w:numId w:val="31"/>
        </w:numPr>
      </w:pPr>
      <w:r>
        <w:t>To ensure it is relevant and effective, this policy will be reviewed</w:t>
      </w:r>
      <w:r w:rsidR="00AD7EBB">
        <w:t xml:space="preserve"> regularly</w:t>
      </w:r>
      <w:r>
        <w:t xml:space="preserve"> or where there is a change in the University’s requirements, employment legislation or case law.</w:t>
      </w:r>
    </w:p>
    <w:p w14:paraId="7CDE1566" w14:textId="6EE7DF3D" w:rsidR="003C1A4B" w:rsidRDefault="003C1A4B" w:rsidP="003C1A4B"/>
    <w:p w14:paraId="506C2AA9" w14:textId="77777777" w:rsidR="003C1A4B" w:rsidRPr="003C1A4B" w:rsidRDefault="003C1A4B" w:rsidP="003C1A4B"/>
    <w:sectPr w:rsidR="003C1A4B" w:rsidRPr="003C1A4B" w:rsidSect="00F20D28">
      <w:footerReference w:type="default" r:id="rId19"/>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33D4" w14:textId="77777777" w:rsidR="0017439B" w:rsidRDefault="0017439B" w:rsidP="003B0CD4">
      <w:pPr>
        <w:spacing w:after="0" w:line="240" w:lineRule="auto"/>
      </w:pPr>
      <w:r>
        <w:separator/>
      </w:r>
    </w:p>
  </w:endnote>
  <w:endnote w:type="continuationSeparator" w:id="0">
    <w:p w14:paraId="6842D1F5" w14:textId="77777777" w:rsidR="0017439B" w:rsidRDefault="0017439B"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A15CA" w14:textId="77777777" w:rsidR="0017439B" w:rsidRDefault="0017439B" w:rsidP="003B0CD4">
      <w:pPr>
        <w:spacing w:after="0" w:line="240" w:lineRule="auto"/>
      </w:pPr>
      <w:r>
        <w:separator/>
      </w:r>
    </w:p>
  </w:footnote>
  <w:footnote w:type="continuationSeparator" w:id="0">
    <w:p w14:paraId="77AFFE5F" w14:textId="77777777" w:rsidR="0017439B" w:rsidRDefault="0017439B"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D3EAB"/>
    <w:multiLevelType w:val="hybridMultilevel"/>
    <w:tmpl w:val="6872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C569A5"/>
    <w:multiLevelType w:val="multilevel"/>
    <w:tmpl w:val="B6DA5BD2"/>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val="0"/>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C41FEE"/>
    <w:multiLevelType w:val="multilevel"/>
    <w:tmpl w:val="74F2DA08"/>
    <w:lvl w:ilvl="0">
      <w:start w:val="1"/>
      <w:numFmt w:val="decimal"/>
      <w:pStyle w:val="Heading1"/>
      <w:lvlText w:val="%1"/>
      <w:lvlJc w:val="left"/>
      <w:pPr>
        <w:ind w:left="432" w:hanging="432"/>
      </w:pPr>
      <w:rPr>
        <w:rFonts w:asciiTheme="majorHAnsi" w:eastAsiaTheme="majorEastAsia" w:hAnsiTheme="majorHAnsi" w:cstheme="majorBidi" w:hint="default"/>
      </w:rPr>
    </w:lvl>
    <w:lvl w:ilvl="1">
      <w:start w:val="1"/>
      <w:numFmt w:val="decimal"/>
      <w:pStyle w:val="Heading2"/>
      <w:lvlText w:val="%1.%2"/>
      <w:lvlJc w:val="left"/>
      <w:pPr>
        <w:ind w:left="576" w:hanging="576"/>
      </w:pPr>
      <w:rPr>
        <w:rFonts w:hint="default"/>
        <w:b w:val="0"/>
        <w:bCs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73E578EC"/>
    <w:multiLevelType w:val="hybridMultilevel"/>
    <w:tmpl w:val="07BAE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032965">
    <w:abstractNumId w:val="23"/>
  </w:num>
  <w:num w:numId="2" w16cid:durableId="559369629">
    <w:abstractNumId w:val="12"/>
  </w:num>
  <w:num w:numId="3" w16cid:durableId="960187108">
    <w:abstractNumId w:val="15"/>
  </w:num>
  <w:num w:numId="4" w16cid:durableId="1568345593">
    <w:abstractNumId w:val="19"/>
  </w:num>
  <w:num w:numId="5" w16cid:durableId="1245606241">
    <w:abstractNumId w:val="14"/>
  </w:num>
  <w:num w:numId="6" w16cid:durableId="274024538">
    <w:abstractNumId w:val="21"/>
  </w:num>
  <w:num w:numId="7" w16cid:durableId="948662233">
    <w:abstractNumId w:val="9"/>
  </w:num>
  <w:num w:numId="8" w16cid:durableId="1099445348">
    <w:abstractNumId w:val="7"/>
  </w:num>
  <w:num w:numId="9" w16cid:durableId="1365474201">
    <w:abstractNumId w:val="6"/>
  </w:num>
  <w:num w:numId="10" w16cid:durableId="43136790">
    <w:abstractNumId w:val="5"/>
  </w:num>
  <w:num w:numId="11" w16cid:durableId="260375777">
    <w:abstractNumId w:val="4"/>
  </w:num>
  <w:num w:numId="12" w16cid:durableId="392505567">
    <w:abstractNumId w:val="8"/>
  </w:num>
  <w:num w:numId="13" w16cid:durableId="204176247">
    <w:abstractNumId w:val="3"/>
  </w:num>
  <w:num w:numId="14" w16cid:durableId="1425498273">
    <w:abstractNumId w:val="2"/>
  </w:num>
  <w:num w:numId="15" w16cid:durableId="79565396">
    <w:abstractNumId w:val="1"/>
  </w:num>
  <w:num w:numId="16" w16cid:durableId="1457985781">
    <w:abstractNumId w:val="0"/>
  </w:num>
  <w:num w:numId="17" w16cid:durableId="1637679393">
    <w:abstractNumId w:val="10"/>
  </w:num>
  <w:num w:numId="18" w16cid:durableId="337539805">
    <w:abstractNumId w:val="18"/>
  </w:num>
  <w:num w:numId="19" w16cid:durableId="12890475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8431588">
    <w:abstractNumId w:val="22"/>
  </w:num>
  <w:num w:numId="21" w16cid:durableId="1625309059">
    <w:abstractNumId w:val="11"/>
  </w:num>
  <w:num w:numId="22" w16cid:durableId="1340236780">
    <w:abstractNumId w:val="16"/>
  </w:num>
  <w:num w:numId="23" w16cid:durableId="23694042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8349152">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291368">
    <w:abstractNumId w:val="17"/>
  </w:num>
  <w:num w:numId="26" w16cid:durableId="867958879">
    <w:abstractNumId w:val="1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8534186">
    <w:abstractNumId w:val="19"/>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770038">
    <w:abstractNumId w:val="19"/>
    <w:lvlOverride w:ilvl="0">
      <w:startOverride w:val="3"/>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3300589">
    <w:abstractNumId w:val="19"/>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1235436">
    <w:abstractNumId w:val="19"/>
  </w:num>
  <w:num w:numId="31" w16cid:durableId="807863515">
    <w:abstractNumId w:val="19"/>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3686773">
    <w:abstractNumId w:val="19"/>
  </w:num>
  <w:num w:numId="33" w16cid:durableId="799999333">
    <w:abstractNumId w:val="13"/>
  </w:num>
  <w:num w:numId="34" w16cid:durableId="281232353">
    <w:abstractNumId w:val="19"/>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7138901">
    <w:abstractNumId w:val="19"/>
    <w:lvlOverride w:ilvl="0">
      <w:startOverride w:val="7"/>
    </w:lvlOverride>
    <w:lvlOverride w:ilvl="1">
      <w:startOverride w:val="6"/>
    </w:lvlOverride>
  </w:num>
  <w:num w:numId="36" w16cid:durableId="36902702">
    <w:abstractNumId w:val="19"/>
    <w:lvlOverride w:ilvl="0">
      <w:startOverride w:val="7"/>
    </w:lvlOverride>
    <w:lvlOverride w:ilvl="1">
      <w:startOverride w:val="7"/>
    </w:lvlOverride>
    <w:lvlOverride w:ilvl="2">
      <w:startOverride w:val="1"/>
    </w:lvlOverride>
    <w:lvlOverride w:ilvl="3">
      <w:startOverride w:val="8"/>
    </w:lvlOverride>
  </w:num>
  <w:num w:numId="37" w16cid:durableId="1079597257">
    <w:abstractNumId w:val="19"/>
  </w:num>
  <w:num w:numId="38" w16cid:durableId="1342664268">
    <w:abstractNumId w:val="19"/>
  </w:num>
  <w:num w:numId="39" w16cid:durableId="978388625">
    <w:abstractNumId w:val="19"/>
  </w:num>
  <w:num w:numId="40" w16cid:durableId="812404871">
    <w:abstractNumId w:val="19"/>
  </w:num>
  <w:num w:numId="41" w16cid:durableId="1077752260">
    <w:abstractNumId w:val="19"/>
  </w:num>
  <w:num w:numId="42" w16cid:durableId="2143452075">
    <w:abstractNumId w:val="19"/>
  </w:num>
  <w:num w:numId="43" w16cid:durableId="16690929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3AD"/>
    <w:rsid w:val="000012AD"/>
    <w:rsid w:val="00006303"/>
    <w:rsid w:val="0001256D"/>
    <w:rsid w:val="00015CC3"/>
    <w:rsid w:val="00023AAD"/>
    <w:rsid w:val="00023DAB"/>
    <w:rsid w:val="00026619"/>
    <w:rsid w:val="00032336"/>
    <w:rsid w:val="00033F2F"/>
    <w:rsid w:val="00034C64"/>
    <w:rsid w:val="0004225E"/>
    <w:rsid w:val="000423C2"/>
    <w:rsid w:val="0006588E"/>
    <w:rsid w:val="00066DCC"/>
    <w:rsid w:val="00067966"/>
    <w:rsid w:val="00070BAD"/>
    <w:rsid w:val="0007346D"/>
    <w:rsid w:val="00074EBD"/>
    <w:rsid w:val="0008376F"/>
    <w:rsid w:val="00084894"/>
    <w:rsid w:val="00084C9A"/>
    <w:rsid w:val="00092F7F"/>
    <w:rsid w:val="0009597B"/>
    <w:rsid w:val="00096435"/>
    <w:rsid w:val="000A4483"/>
    <w:rsid w:val="000A57F6"/>
    <w:rsid w:val="000A719B"/>
    <w:rsid w:val="000D0B2C"/>
    <w:rsid w:val="000D23F4"/>
    <w:rsid w:val="000D35FB"/>
    <w:rsid w:val="000D39D0"/>
    <w:rsid w:val="000D3EF5"/>
    <w:rsid w:val="000D49BB"/>
    <w:rsid w:val="000E05EF"/>
    <w:rsid w:val="000E499F"/>
    <w:rsid w:val="000F0838"/>
    <w:rsid w:val="000F13D6"/>
    <w:rsid w:val="000F3FF4"/>
    <w:rsid w:val="00110B28"/>
    <w:rsid w:val="0012564B"/>
    <w:rsid w:val="00130BA3"/>
    <w:rsid w:val="0013304E"/>
    <w:rsid w:val="0013607D"/>
    <w:rsid w:val="001367BF"/>
    <w:rsid w:val="001367FE"/>
    <w:rsid w:val="001420C5"/>
    <w:rsid w:val="0014281D"/>
    <w:rsid w:val="00150B6E"/>
    <w:rsid w:val="0015225C"/>
    <w:rsid w:val="0016005F"/>
    <w:rsid w:val="00161EDB"/>
    <w:rsid w:val="0017221F"/>
    <w:rsid w:val="0017433E"/>
    <w:rsid w:val="0017439B"/>
    <w:rsid w:val="00176A6B"/>
    <w:rsid w:val="001771F7"/>
    <w:rsid w:val="00187BB4"/>
    <w:rsid w:val="001920AF"/>
    <w:rsid w:val="001A52A7"/>
    <w:rsid w:val="001A7F68"/>
    <w:rsid w:val="001B055F"/>
    <w:rsid w:val="001B6874"/>
    <w:rsid w:val="001C0E14"/>
    <w:rsid w:val="001C72DA"/>
    <w:rsid w:val="001D589B"/>
    <w:rsid w:val="001D610B"/>
    <w:rsid w:val="001E196D"/>
    <w:rsid w:val="001E54DD"/>
    <w:rsid w:val="001F1805"/>
    <w:rsid w:val="001F6C9E"/>
    <w:rsid w:val="00204F5F"/>
    <w:rsid w:val="00206938"/>
    <w:rsid w:val="002104C2"/>
    <w:rsid w:val="00215570"/>
    <w:rsid w:val="00224DE9"/>
    <w:rsid w:val="00247703"/>
    <w:rsid w:val="00250DFF"/>
    <w:rsid w:val="00260329"/>
    <w:rsid w:val="00261178"/>
    <w:rsid w:val="00263057"/>
    <w:rsid w:val="00267CB7"/>
    <w:rsid w:val="002722ED"/>
    <w:rsid w:val="00272590"/>
    <w:rsid w:val="00276B4A"/>
    <w:rsid w:val="00276D78"/>
    <w:rsid w:val="002A1E3D"/>
    <w:rsid w:val="002A3F73"/>
    <w:rsid w:val="002D166B"/>
    <w:rsid w:val="002D6A65"/>
    <w:rsid w:val="002E6D8A"/>
    <w:rsid w:val="002F26D4"/>
    <w:rsid w:val="002F3B5B"/>
    <w:rsid w:val="00301701"/>
    <w:rsid w:val="00302755"/>
    <w:rsid w:val="00310A76"/>
    <w:rsid w:val="003140A5"/>
    <w:rsid w:val="003205F6"/>
    <w:rsid w:val="0032264E"/>
    <w:rsid w:val="0034225D"/>
    <w:rsid w:val="00351D20"/>
    <w:rsid w:val="003526E4"/>
    <w:rsid w:val="00365BC4"/>
    <w:rsid w:val="00366DCB"/>
    <w:rsid w:val="00367D18"/>
    <w:rsid w:val="00367FE6"/>
    <w:rsid w:val="00376449"/>
    <w:rsid w:val="00382FA9"/>
    <w:rsid w:val="00384851"/>
    <w:rsid w:val="0039772B"/>
    <w:rsid w:val="003A1CDC"/>
    <w:rsid w:val="003A6150"/>
    <w:rsid w:val="003A7850"/>
    <w:rsid w:val="003B0CD4"/>
    <w:rsid w:val="003B6215"/>
    <w:rsid w:val="003C1A4B"/>
    <w:rsid w:val="003C2126"/>
    <w:rsid w:val="003C307C"/>
    <w:rsid w:val="003D652F"/>
    <w:rsid w:val="003D7CBD"/>
    <w:rsid w:val="003E35A1"/>
    <w:rsid w:val="003E6D68"/>
    <w:rsid w:val="003F745F"/>
    <w:rsid w:val="004003B1"/>
    <w:rsid w:val="00404A8A"/>
    <w:rsid w:val="0040563E"/>
    <w:rsid w:val="00406B6E"/>
    <w:rsid w:val="004104F8"/>
    <w:rsid w:val="00415CEC"/>
    <w:rsid w:val="00417452"/>
    <w:rsid w:val="00424E11"/>
    <w:rsid w:val="00424F93"/>
    <w:rsid w:val="00443284"/>
    <w:rsid w:val="00446FC2"/>
    <w:rsid w:val="00454793"/>
    <w:rsid w:val="0045639F"/>
    <w:rsid w:val="004618C7"/>
    <w:rsid w:val="00465D4C"/>
    <w:rsid w:val="004703BE"/>
    <w:rsid w:val="004734A0"/>
    <w:rsid w:val="00482606"/>
    <w:rsid w:val="00483FA1"/>
    <w:rsid w:val="00490F64"/>
    <w:rsid w:val="00491DC1"/>
    <w:rsid w:val="00493A97"/>
    <w:rsid w:val="004A0911"/>
    <w:rsid w:val="004A31C0"/>
    <w:rsid w:val="004A35CA"/>
    <w:rsid w:val="004B20D0"/>
    <w:rsid w:val="004B288A"/>
    <w:rsid w:val="004C5C4B"/>
    <w:rsid w:val="004D316B"/>
    <w:rsid w:val="004D3778"/>
    <w:rsid w:val="004E311E"/>
    <w:rsid w:val="004E6F06"/>
    <w:rsid w:val="004F3D8E"/>
    <w:rsid w:val="004F3E35"/>
    <w:rsid w:val="004F3F03"/>
    <w:rsid w:val="005005F9"/>
    <w:rsid w:val="005035F0"/>
    <w:rsid w:val="0050778C"/>
    <w:rsid w:val="005105B2"/>
    <w:rsid w:val="005265FC"/>
    <w:rsid w:val="00530F92"/>
    <w:rsid w:val="005325B2"/>
    <w:rsid w:val="0053269B"/>
    <w:rsid w:val="00537AEA"/>
    <w:rsid w:val="00542772"/>
    <w:rsid w:val="0055051B"/>
    <w:rsid w:val="00553D91"/>
    <w:rsid w:val="00561FF4"/>
    <w:rsid w:val="0056661F"/>
    <w:rsid w:val="00581711"/>
    <w:rsid w:val="00582945"/>
    <w:rsid w:val="005A4593"/>
    <w:rsid w:val="005A5AD5"/>
    <w:rsid w:val="005A5EE5"/>
    <w:rsid w:val="005A7324"/>
    <w:rsid w:val="005C1286"/>
    <w:rsid w:val="005C3FD2"/>
    <w:rsid w:val="005C6410"/>
    <w:rsid w:val="005D0B18"/>
    <w:rsid w:val="005D3DFB"/>
    <w:rsid w:val="005F07EC"/>
    <w:rsid w:val="005F48E7"/>
    <w:rsid w:val="005F5064"/>
    <w:rsid w:val="0060088D"/>
    <w:rsid w:val="00616D42"/>
    <w:rsid w:val="00620439"/>
    <w:rsid w:val="00630C0B"/>
    <w:rsid w:val="006377CE"/>
    <w:rsid w:val="00645C47"/>
    <w:rsid w:val="006600B5"/>
    <w:rsid w:val="0066363C"/>
    <w:rsid w:val="006649BD"/>
    <w:rsid w:val="00665CD2"/>
    <w:rsid w:val="00667986"/>
    <w:rsid w:val="006732AD"/>
    <w:rsid w:val="00675991"/>
    <w:rsid w:val="0068155A"/>
    <w:rsid w:val="00684ACE"/>
    <w:rsid w:val="0068678A"/>
    <w:rsid w:val="00686B34"/>
    <w:rsid w:val="00687C9A"/>
    <w:rsid w:val="00690909"/>
    <w:rsid w:val="00697DFA"/>
    <w:rsid w:val="006A0052"/>
    <w:rsid w:val="006A20B9"/>
    <w:rsid w:val="006A4FE6"/>
    <w:rsid w:val="006A55FD"/>
    <w:rsid w:val="006B2F41"/>
    <w:rsid w:val="006B33D7"/>
    <w:rsid w:val="006D6498"/>
    <w:rsid w:val="006D694A"/>
    <w:rsid w:val="006E690E"/>
    <w:rsid w:val="006E7C96"/>
    <w:rsid w:val="00700188"/>
    <w:rsid w:val="00702BD3"/>
    <w:rsid w:val="00703D82"/>
    <w:rsid w:val="00704855"/>
    <w:rsid w:val="0071039C"/>
    <w:rsid w:val="00710E0B"/>
    <w:rsid w:val="00714650"/>
    <w:rsid w:val="007150F4"/>
    <w:rsid w:val="00722FD5"/>
    <w:rsid w:val="00725A04"/>
    <w:rsid w:val="00731546"/>
    <w:rsid w:val="00734A37"/>
    <w:rsid w:val="00734D37"/>
    <w:rsid w:val="00752429"/>
    <w:rsid w:val="0077217C"/>
    <w:rsid w:val="007933C0"/>
    <w:rsid w:val="007A0E66"/>
    <w:rsid w:val="007A70A3"/>
    <w:rsid w:val="007B4291"/>
    <w:rsid w:val="007F3855"/>
    <w:rsid w:val="007F447E"/>
    <w:rsid w:val="007F79FE"/>
    <w:rsid w:val="00801A50"/>
    <w:rsid w:val="00803CA6"/>
    <w:rsid w:val="00803D56"/>
    <w:rsid w:val="00806AD2"/>
    <w:rsid w:val="008140DC"/>
    <w:rsid w:val="00815A26"/>
    <w:rsid w:val="00817C3E"/>
    <w:rsid w:val="00824DDD"/>
    <w:rsid w:val="00827552"/>
    <w:rsid w:val="00832468"/>
    <w:rsid w:val="0084051B"/>
    <w:rsid w:val="00841447"/>
    <w:rsid w:val="00844206"/>
    <w:rsid w:val="00844830"/>
    <w:rsid w:val="008467C2"/>
    <w:rsid w:val="00854E81"/>
    <w:rsid w:val="008569CD"/>
    <w:rsid w:val="008627B3"/>
    <w:rsid w:val="00862D95"/>
    <w:rsid w:val="00866360"/>
    <w:rsid w:val="008741DB"/>
    <w:rsid w:val="00877BAE"/>
    <w:rsid w:val="00877DE9"/>
    <w:rsid w:val="008808CF"/>
    <w:rsid w:val="0088599E"/>
    <w:rsid w:val="008C551C"/>
    <w:rsid w:val="008D23D2"/>
    <w:rsid w:val="008D295B"/>
    <w:rsid w:val="008D56E8"/>
    <w:rsid w:val="008D6388"/>
    <w:rsid w:val="008E4B45"/>
    <w:rsid w:val="00905E84"/>
    <w:rsid w:val="00914C6E"/>
    <w:rsid w:val="009162CB"/>
    <w:rsid w:val="009272C3"/>
    <w:rsid w:val="009349CD"/>
    <w:rsid w:val="009359B4"/>
    <w:rsid w:val="0094058D"/>
    <w:rsid w:val="00945CC4"/>
    <w:rsid w:val="00952ED2"/>
    <w:rsid w:val="00956584"/>
    <w:rsid w:val="00971EA6"/>
    <w:rsid w:val="00973B36"/>
    <w:rsid w:val="00973C73"/>
    <w:rsid w:val="0098001E"/>
    <w:rsid w:val="009917AB"/>
    <w:rsid w:val="00993BF9"/>
    <w:rsid w:val="009A0C1B"/>
    <w:rsid w:val="009A3418"/>
    <w:rsid w:val="009A7809"/>
    <w:rsid w:val="009C0287"/>
    <w:rsid w:val="009C2331"/>
    <w:rsid w:val="009C26A5"/>
    <w:rsid w:val="009C7B96"/>
    <w:rsid w:val="009D0DEA"/>
    <w:rsid w:val="009D2881"/>
    <w:rsid w:val="009D4EF7"/>
    <w:rsid w:val="009F6B45"/>
    <w:rsid w:val="00A05E79"/>
    <w:rsid w:val="00A10647"/>
    <w:rsid w:val="00A1135E"/>
    <w:rsid w:val="00A11429"/>
    <w:rsid w:val="00A14C78"/>
    <w:rsid w:val="00A16E06"/>
    <w:rsid w:val="00A17065"/>
    <w:rsid w:val="00A27CE1"/>
    <w:rsid w:val="00A31FFD"/>
    <w:rsid w:val="00A50438"/>
    <w:rsid w:val="00A572DA"/>
    <w:rsid w:val="00A640A2"/>
    <w:rsid w:val="00A7385B"/>
    <w:rsid w:val="00A7691F"/>
    <w:rsid w:val="00AB66EC"/>
    <w:rsid w:val="00AC46D2"/>
    <w:rsid w:val="00AC4C9B"/>
    <w:rsid w:val="00AD1CA8"/>
    <w:rsid w:val="00AD7EBB"/>
    <w:rsid w:val="00AE3499"/>
    <w:rsid w:val="00AE3A65"/>
    <w:rsid w:val="00AE7CC3"/>
    <w:rsid w:val="00B04A83"/>
    <w:rsid w:val="00B05A36"/>
    <w:rsid w:val="00B0766D"/>
    <w:rsid w:val="00B102DF"/>
    <w:rsid w:val="00B1455D"/>
    <w:rsid w:val="00B209C2"/>
    <w:rsid w:val="00B36065"/>
    <w:rsid w:val="00B36605"/>
    <w:rsid w:val="00B47F3F"/>
    <w:rsid w:val="00B528ED"/>
    <w:rsid w:val="00B54D4D"/>
    <w:rsid w:val="00B56A05"/>
    <w:rsid w:val="00B6307B"/>
    <w:rsid w:val="00B65212"/>
    <w:rsid w:val="00B72F9A"/>
    <w:rsid w:val="00B75892"/>
    <w:rsid w:val="00B77C32"/>
    <w:rsid w:val="00B82F2B"/>
    <w:rsid w:val="00B86E39"/>
    <w:rsid w:val="00B93D72"/>
    <w:rsid w:val="00BA6C69"/>
    <w:rsid w:val="00BB214C"/>
    <w:rsid w:val="00BB74FF"/>
    <w:rsid w:val="00BB7501"/>
    <w:rsid w:val="00BC4454"/>
    <w:rsid w:val="00BC566C"/>
    <w:rsid w:val="00BC77B0"/>
    <w:rsid w:val="00BD31FE"/>
    <w:rsid w:val="00BD3CFC"/>
    <w:rsid w:val="00BD4710"/>
    <w:rsid w:val="00BE030D"/>
    <w:rsid w:val="00BF0862"/>
    <w:rsid w:val="00BF1331"/>
    <w:rsid w:val="00BF7734"/>
    <w:rsid w:val="00C00C5A"/>
    <w:rsid w:val="00C05B84"/>
    <w:rsid w:val="00C07B20"/>
    <w:rsid w:val="00C13E86"/>
    <w:rsid w:val="00C16F50"/>
    <w:rsid w:val="00C24D8F"/>
    <w:rsid w:val="00C24F5B"/>
    <w:rsid w:val="00C30F00"/>
    <w:rsid w:val="00C336B7"/>
    <w:rsid w:val="00C33DEE"/>
    <w:rsid w:val="00C341BE"/>
    <w:rsid w:val="00C343E7"/>
    <w:rsid w:val="00C36784"/>
    <w:rsid w:val="00C47D73"/>
    <w:rsid w:val="00C61CA9"/>
    <w:rsid w:val="00C849C2"/>
    <w:rsid w:val="00CA1500"/>
    <w:rsid w:val="00CA6EDB"/>
    <w:rsid w:val="00CB137C"/>
    <w:rsid w:val="00CB1F64"/>
    <w:rsid w:val="00CB4D6A"/>
    <w:rsid w:val="00CB5D44"/>
    <w:rsid w:val="00CD1906"/>
    <w:rsid w:val="00CD441C"/>
    <w:rsid w:val="00CD582A"/>
    <w:rsid w:val="00CD79CA"/>
    <w:rsid w:val="00CE052B"/>
    <w:rsid w:val="00CE2EBA"/>
    <w:rsid w:val="00CE47D3"/>
    <w:rsid w:val="00CE608D"/>
    <w:rsid w:val="00D04967"/>
    <w:rsid w:val="00D065D9"/>
    <w:rsid w:val="00D1170F"/>
    <w:rsid w:val="00D20880"/>
    <w:rsid w:val="00D23261"/>
    <w:rsid w:val="00D2345B"/>
    <w:rsid w:val="00D40F2C"/>
    <w:rsid w:val="00D43EE3"/>
    <w:rsid w:val="00D46E50"/>
    <w:rsid w:val="00D5591B"/>
    <w:rsid w:val="00D62DB8"/>
    <w:rsid w:val="00D720B4"/>
    <w:rsid w:val="00D73410"/>
    <w:rsid w:val="00D9301C"/>
    <w:rsid w:val="00D93573"/>
    <w:rsid w:val="00D973DB"/>
    <w:rsid w:val="00DA05EE"/>
    <w:rsid w:val="00DB4F48"/>
    <w:rsid w:val="00DE4000"/>
    <w:rsid w:val="00DE59F6"/>
    <w:rsid w:val="00DF2EBE"/>
    <w:rsid w:val="00E212A3"/>
    <w:rsid w:val="00E25759"/>
    <w:rsid w:val="00E32C01"/>
    <w:rsid w:val="00E374E4"/>
    <w:rsid w:val="00E52C8A"/>
    <w:rsid w:val="00E53462"/>
    <w:rsid w:val="00E62C64"/>
    <w:rsid w:val="00E734C7"/>
    <w:rsid w:val="00E84FDC"/>
    <w:rsid w:val="00EA1963"/>
    <w:rsid w:val="00EA69F4"/>
    <w:rsid w:val="00EC2545"/>
    <w:rsid w:val="00EC2C8F"/>
    <w:rsid w:val="00EC3FDC"/>
    <w:rsid w:val="00ED02EC"/>
    <w:rsid w:val="00ED1374"/>
    <w:rsid w:val="00ED184E"/>
    <w:rsid w:val="00ED19D8"/>
    <w:rsid w:val="00ED50A7"/>
    <w:rsid w:val="00ED6897"/>
    <w:rsid w:val="00EE0A12"/>
    <w:rsid w:val="00EE23DF"/>
    <w:rsid w:val="00EF69B5"/>
    <w:rsid w:val="00F07112"/>
    <w:rsid w:val="00F108F1"/>
    <w:rsid w:val="00F20D28"/>
    <w:rsid w:val="00F227F2"/>
    <w:rsid w:val="00F314A6"/>
    <w:rsid w:val="00F316D4"/>
    <w:rsid w:val="00F31A84"/>
    <w:rsid w:val="00F548C3"/>
    <w:rsid w:val="00F6419A"/>
    <w:rsid w:val="00F649BB"/>
    <w:rsid w:val="00F664D9"/>
    <w:rsid w:val="00F74ABA"/>
    <w:rsid w:val="00F75929"/>
    <w:rsid w:val="00F77E1A"/>
    <w:rsid w:val="00F8242C"/>
    <w:rsid w:val="00F84635"/>
    <w:rsid w:val="00F91728"/>
    <w:rsid w:val="00F969C7"/>
    <w:rsid w:val="00FA30DC"/>
    <w:rsid w:val="00FA7E39"/>
    <w:rsid w:val="00FB03AA"/>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32"/>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32"/>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32"/>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32"/>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32"/>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32"/>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34225D"/>
    <w:pPr>
      <w:tabs>
        <w:tab w:val="left" w:pos="440"/>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4B288A"/>
    <w:pPr>
      <w:spacing w:after="0" w:line="240" w:lineRule="auto"/>
    </w:pPr>
    <w:rPr>
      <w:rFonts w:ascii="Arial" w:hAnsi="Arial"/>
      <w:color w:val="222A35" w:themeColor="text2" w:themeShade="80"/>
      <w:sz w:val="24"/>
    </w:rPr>
  </w:style>
  <w:style w:type="paragraph" w:styleId="NormalWeb">
    <w:name w:val="Normal (Web)"/>
    <w:basedOn w:val="Normal"/>
    <w:uiPriority w:val="99"/>
    <w:unhideWhenUsed/>
    <w:rsid w:val="00F969C7"/>
    <w:pPr>
      <w:spacing w:before="100" w:beforeAutospacing="1" w:after="100" w:afterAutospacing="1" w:line="240" w:lineRule="auto"/>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Documents/interim-hybrid-working-policy.docx" TargetMode="External"/><Relationship Id="rId18" Type="http://schemas.openxmlformats.org/officeDocument/2006/relationships/hyperlink" Target="https://outlookuwicac.sharepoint.com/:w:/s/PeopleServices/Ef-qdO9pinBAuBFjIAcbymkB0zeh1KxlBR6v1cItcREZ_g?e=6yeaB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utlookuwicac.sharepoint.com/:w:/s/PeopleServices/Ef-qdO9pinBAuBFjIAcbymkB0zeh1KxlBR6v1cItcREZ_g?e=6yeaBu" TargetMode="External"/><Relationship Id="rId17" Type="http://schemas.openxmlformats.org/officeDocument/2006/relationships/hyperlink" Target="mailto:policies@cardiffmet.ac.uk" TargetMode="External"/><Relationship Id="rId2" Type="http://schemas.openxmlformats.org/officeDocument/2006/relationships/customXml" Target="../customXml/item2.xml"/><Relationship Id="rId16" Type="http://schemas.openxmlformats.org/officeDocument/2006/relationships/hyperlink" Target="https://www.cardiffmet.ac.uk/about/policyh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utlookuwicac.sharepoint.com/sites/Secretari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manresourc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6e89537f-e53f-4f5e-adc0-920a7c9650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64C28D18AFBB46A16CEA99CFC16459" ma:contentTypeVersion="5" ma:contentTypeDescription="Create a new document." ma:contentTypeScope="" ma:versionID="cecb54962d580f8bc08852345d79d73a">
  <xsd:schema xmlns:xsd="http://www.w3.org/2001/XMLSchema" xmlns:xs="http://www.w3.org/2001/XMLSchema" xmlns:p="http://schemas.microsoft.com/office/2006/metadata/properties" xmlns:ns2="6e89537f-e53f-4f5e-adc0-920a7c9650dd" xmlns:ns3="3c7480db-a824-40cc-87de-1a27d6afaaee" targetNamespace="http://schemas.microsoft.com/office/2006/metadata/properties" ma:root="true" ma:fieldsID="4d2657c5e574e961c92c156c29fdbc24" ns2:_="" ns3:_="">
    <xsd:import namespace="6e89537f-e53f-4f5e-adc0-920a7c9650dd"/>
    <xsd:import namespace="3c7480db-a824-40cc-87de-1a27d6afaaee"/>
    <xsd:element name="properties">
      <xsd:complexType>
        <xsd:sequence>
          <xsd:element name="documentManagement">
            <xsd:complexType>
              <xsd:all>
                <xsd:element ref="ns2:MediaServiceMetadata" minOccurs="0"/>
                <xsd:element ref="ns2:MediaServiceFastMetadata" minOccurs="0"/>
                <xsd:element ref="ns2:No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537f-e53f-4f5e-adc0-920a7c965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7480db-a824-40cc-87de-1a27d6afaa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312D2-EBBB-4D7A-A0E9-D0E10CE78FAC}">
  <ds:schemaRefs>
    <ds:schemaRef ds:uri="http://schemas.openxmlformats.org/officeDocument/2006/bibliography"/>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e89537f-e53f-4f5e-adc0-920a7c9650dd"/>
  </ds:schemaRefs>
</ds:datastoreItem>
</file>

<file path=customXml/itemProps4.xml><?xml version="1.0" encoding="utf-8"?>
<ds:datastoreItem xmlns:ds="http://schemas.openxmlformats.org/officeDocument/2006/customXml" ds:itemID="{D13E1B28-9839-4DCE-9B78-6C56D9C5E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537f-e53f-4f5e-adc0-920a7c9650dd"/>
    <ds:schemaRef ds:uri="3c7480db-a824-40cc-87de-1a27d6af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Evans, Rachel</cp:lastModifiedBy>
  <cp:revision>10</cp:revision>
  <dcterms:created xsi:type="dcterms:W3CDTF">2023-12-06T17:34:00Z</dcterms:created>
  <dcterms:modified xsi:type="dcterms:W3CDTF">2025-03-17T14:53:00Z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0x0101009764C28D18AFBB46A16CEA99CFC16459</vt:lpwstr>
  </property>
</Properties>
</file>