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0F8B" w14:textId="5A074714" w:rsidR="0046381F" w:rsidRDefault="0021148E" w:rsidP="0046381F">
      <w:pPr>
        <w:pStyle w:val="Title"/>
        <w:jc w:val="right"/>
      </w:pPr>
      <w:r>
        <w:rPr>
          <w:rFonts w:ascii="Calibri" w:eastAsia="Calibri" w:hAnsi="Calibri" w:cs="Calibri"/>
          <w:noProof/>
          <w:sz w:val="22"/>
          <w:szCs w:val="22"/>
        </w:rPr>
        <w:drawing>
          <wp:anchor distT="0" distB="0" distL="114300" distR="114300" simplePos="0" relativeHeight="251658240" behindDoc="0" locked="0" layoutInCell="1" allowOverlap="1" wp14:anchorId="7F2CA328" wp14:editId="2F9863E7">
            <wp:simplePos x="0" y="0"/>
            <wp:positionH relativeFrom="column">
              <wp:posOffset>3132455</wp:posOffset>
            </wp:positionH>
            <wp:positionV relativeFrom="paragraph">
              <wp:posOffset>184150</wp:posOffset>
            </wp:positionV>
            <wp:extent cx="2713990" cy="80581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99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6163859" wp14:editId="4D22FA36">
            <wp:simplePos x="0" y="0"/>
            <wp:positionH relativeFrom="column">
              <wp:posOffset>-373380</wp:posOffset>
            </wp:positionH>
            <wp:positionV relativeFrom="paragraph">
              <wp:posOffset>0</wp:posOffset>
            </wp:positionV>
            <wp:extent cx="3025775" cy="956945"/>
            <wp:effectExtent l="0" t="0" r="3175" b="0"/>
            <wp:wrapTight wrapText="bothSides">
              <wp:wrapPolygon edited="0">
                <wp:start x="0" y="0"/>
                <wp:lineTo x="0" y="21070"/>
                <wp:lineTo x="21487" y="21070"/>
                <wp:lineTo x="21487"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2"/>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center" w:tblpY="3751"/>
        <w:tblW w:w="11052" w:type="dxa"/>
        <w:tblLayout w:type="fixed"/>
        <w:tblLook w:val="04A0" w:firstRow="1" w:lastRow="0" w:firstColumn="1" w:lastColumn="0" w:noHBand="0" w:noVBand="1"/>
      </w:tblPr>
      <w:tblGrid>
        <w:gridCol w:w="4531"/>
        <w:gridCol w:w="6521"/>
      </w:tblGrid>
      <w:tr w:rsidR="00786814" w14:paraId="5D69ED65" w14:textId="77777777" w:rsidTr="00E40814">
        <w:tc>
          <w:tcPr>
            <w:tcW w:w="11052" w:type="dxa"/>
            <w:gridSpan w:val="2"/>
          </w:tcPr>
          <w:p w14:paraId="043AC37B" w14:textId="0851ACE7" w:rsidR="00786814" w:rsidRPr="0021148E" w:rsidRDefault="00786814" w:rsidP="0021148E">
            <w:pPr>
              <w:pStyle w:val="BodyText"/>
              <w:jc w:val="center"/>
              <w:rPr>
                <w:rFonts w:cstheme="minorHAnsi"/>
                <w:b/>
                <w:bCs/>
              </w:rPr>
            </w:pPr>
            <w:r w:rsidRPr="0021148E">
              <w:rPr>
                <w:rFonts w:cstheme="minorHAnsi"/>
                <w:b/>
                <w:bCs/>
              </w:rPr>
              <w:t>Annual Report for the Concordat to Support t</w:t>
            </w:r>
            <w:r w:rsidR="0021148E" w:rsidRPr="0021148E">
              <w:rPr>
                <w:rFonts w:cstheme="minorHAnsi"/>
                <w:b/>
                <w:bCs/>
              </w:rPr>
              <w:t>he Career Development of Researchers</w:t>
            </w:r>
          </w:p>
        </w:tc>
      </w:tr>
      <w:tr w:rsidR="00B12087" w14:paraId="7A8DAA70" w14:textId="77777777" w:rsidTr="00786814">
        <w:tc>
          <w:tcPr>
            <w:tcW w:w="4531" w:type="dxa"/>
          </w:tcPr>
          <w:p w14:paraId="2440F32A" w14:textId="72FA135E" w:rsidR="00B12087" w:rsidRPr="009727D9" w:rsidRDefault="00B12087" w:rsidP="00786814">
            <w:pPr>
              <w:pStyle w:val="BodyText"/>
              <w:rPr>
                <w:b/>
                <w:bCs/>
              </w:rPr>
            </w:pPr>
            <w:r w:rsidRPr="009727D9">
              <w:rPr>
                <w:b/>
                <w:bCs/>
              </w:rPr>
              <w:t>Name of Institution</w:t>
            </w:r>
          </w:p>
        </w:tc>
        <w:tc>
          <w:tcPr>
            <w:tcW w:w="6521" w:type="dxa"/>
          </w:tcPr>
          <w:p w14:paraId="6ABD485B" w14:textId="77777777" w:rsidR="00B12087" w:rsidRPr="00875564" w:rsidRDefault="00B12087" w:rsidP="00786814">
            <w:pPr>
              <w:pStyle w:val="BodyText"/>
            </w:pPr>
            <w:r w:rsidRPr="00875564">
              <w:t>Cardiff Metropolitan University</w:t>
            </w:r>
          </w:p>
        </w:tc>
      </w:tr>
      <w:tr w:rsidR="00B12087" w14:paraId="0966531A" w14:textId="77777777" w:rsidTr="00786814">
        <w:tc>
          <w:tcPr>
            <w:tcW w:w="4531" w:type="dxa"/>
          </w:tcPr>
          <w:p w14:paraId="27D093A9" w14:textId="128C5416" w:rsidR="00B12087" w:rsidRPr="009727D9" w:rsidRDefault="00B12087" w:rsidP="00786814">
            <w:pPr>
              <w:pStyle w:val="BodyText"/>
              <w:rPr>
                <w:b/>
                <w:bCs/>
              </w:rPr>
            </w:pPr>
            <w:r w:rsidRPr="009727D9">
              <w:rPr>
                <w:b/>
                <w:bCs/>
              </w:rPr>
              <w:t>Reporting period</w:t>
            </w:r>
          </w:p>
        </w:tc>
        <w:tc>
          <w:tcPr>
            <w:tcW w:w="6521" w:type="dxa"/>
          </w:tcPr>
          <w:p w14:paraId="07BD6F5F" w14:textId="6F4F8DFE" w:rsidR="00B12087" w:rsidRPr="00875564" w:rsidRDefault="00B12087" w:rsidP="00786814">
            <w:pPr>
              <w:pStyle w:val="BodyText"/>
            </w:pPr>
            <w:r w:rsidRPr="00875564">
              <w:t xml:space="preserve">01 February 2022 to 30 November 2022 </w:t>
            </w:r>
          </w:p>
        </w:tc>
      </w:tr>
      <w:tr w:rsidR="00B12087" w14:paraId="41208E23" w14:textId="77777777" w:rsidTr="00786814">
        <w:tc>
          <w:tcPr>
            <w:tcW w:w="4531" w:type="dxa"/>
          </w:tcPr>
          <w:p w14:paraId="358EB9C7" w14:textId="77777777" w:rsidR="00B12087" w:rsidRPr="009727D9" w:rsidRDefault="00B12087" w:rsidP="00786814">
            <w:pPr>
              <w:pStyle w:val="BodyText"/>
              <w:rPr>
                <w:b/>
                <w:bCs/>
              </w:rPr>
            </w:pPr>
            <w:r w:rsidRPr="009727D9">
              <w:rPr>
                <w:b/>
                <w:bCs/>
              </w:rPr>
              <w:t>Date approved by governing body</w:t>
            </w:r>
          </w:p>
        </w:tc>
        <w:tc>
          <w:tcPr>
            <w:tcW w:w="6521" w:type="dxa"/>
          </w:tcPr>
          <w:p w14:paraId="3F79DD03" w14:textId="77777777" w:rsidR="00B12087" w:rsidRPr="00875564" w:rsidRDefault="00B12087" w:rsidP="00786814">
            <w:pPr>
              <w:pStyle w:val="BodyText"/>
            </w:pPr>
            <w:r>
              <w:t>19 January 2022</w:t>
            </w:r>
          </w:p>
        </w:tc>
      </w:tr>
      <w:tr w:rsidR="00B12087" w14:paraId="751B8428" w14:textId="77777777" w:rsidTr="007030E3">
        <w:trPr>
          <w:trHeight w:val="685"/>
        </w:trPr>
        <w:tc>
          <w:tcPr>
            <w:tcW w:w="4531" w:type="dxa"/>
          </w:tcPr>
          <w:p w14:paraId="18F9AA96" w14:textId="77777777" w:rsidR="00B12087" w:rsidRPr="00F107FB" w:rsidRDefault="00B12087" w:rsidP="00786814">
            <w:pPr>
              <w:pStyle w:val="BodyText"/>
              <w:rPr>
                <w:b/>
                <w:bCs/>
              </w:rPr>
            </w:pPr>
            <w:r w:rsidRPr="00F107FB">
              <w:rPr>
                <w:b/>
                <w:bCs/>
              </w:rPr>
              <w:t>Date published online</w:t>
            </w:r>
          </w:p>
        </w:tc>
        <w:tc>
          <w:tcPr>
            <w:tcW w:w="6521" w:type="dxa"/>
          </w:tcPr>
          <w:p w14:paraId="3D11F61D" w14:textId="08ED63F6" w:rsidR="00B12087" w:rsidRPr="00F107FB" w:rsidRDefault="00F107FB" w:rsidP="00786814">
            <w:pPr>
              <w:pStyle w:val="BodyText"/>
            </w:pPr>
            <w:r w:rsidRPr="00F107FB">
              <w:t xml:space="preserve">14 </w:t>
            </w:r>
            <w:r>
              <w:t>February 2022</w:t>
            </w:r>
          </w:p>
        </w:tc>
      </w:tr>
      <w:tr w:rsidR="00B12087" w14:paraId="0E0DDC4C" w14:textId="77777777" w:rsidTr="00786814">
        <w:tc>
          <w:tcPr>
            <w:tcW w:w="4531" w:type="dxa"/>
          </w:tcPr>
          <w:p w14:paraId="3BA9F9A1" w14:textId="77777777" w:rsidR="00B12087" w:rsidRPr="009727D9" w:rsidRDefault="00B12087" w:rsidP="00786814">
            <w:pPr>
              <w:pStyle w:val="BodyText"/>
              <w:rPr>
                <w:b/>
                <w:bCs/>
              </w:rPr>
            </w:pPr>
            <w:r w:rsidRPr="009727D9">
              <w:rPr>
                <w:b/>
                <w:bCs/>
              </w:rPr>
              <w:t>Web address of annual report</w:t>
            </w:r>
          </w:p>
        </w:tc>
        <w:tc>
          <w:tcPr>
            <w:tcW w:w="6521" w:type="dxa"/>
          </w:tcPr>
          <w:p w14:paraId="02DA5C26" w14:textId="3FDB43F3" w:rsidR="00B12087" w:rsidRPr="00C42EF6" w:rsidRDefault="00F107FB" w:rsidP="00786814">
            <w:pPr>
              <w:pStyle w:val="BodyText"/>
              <w:rPr>
                <w:highlight w:val="yellow"/>
              </w:rPr>
            </w:pPr>
            <w:r w:rsidRPr="00F107FB">
              <w:t>https://www.cardiffmet.ac.uk/research/Pages/concordat.aspx</w:t>
            </w:r>
          </w:p>
        </w:tc>
      </w:tr>
      <w:tr w:rsidR="00B12087" w14:paraId="2E8F181D" w14:textId="77777777" w:rsidTr="00786814">
        <w:trPr>
          <w:trHeight w:val="567"/>
        </w:trPr>
        <w:tc>
          <w:tcPr>
            <w:tcW w:w="4531" w:type="dxa"/>
          </w:tcPr>
          <w:p w14:paraId="44C915D2" w14:textId="77777777" w:rsidR="00B12087" w:rsidRPr="009727D9" w:rsidRDefault="00B12087" w:rsidP="00786814">
            <w:pPr>
              <w:pStyle w:val="BodyText"/>
              <w:rPr>
                <w:b/>
                <w:bCs/>
              </w:rPr>
            </w:pPr>
            <w:r w:rsidRPr="009727D9">
              <w:rPr>
                <w:b/>
                <w:bCs/>
              </w:rPr>
              <w:t>Web address of institutional Researcher Development Concordat webpage</w:t>
            </w:r>
          </w:p>
        </w:tc>
        <w:tc>
          <w:tcPr>
            <w:tcW w:w="6521" w:type="dxa"/>
          </w:tcPr>
          <w:p w14:paraId="7156EB55" w14:textId="77777777" w:rsidR="00B12087" w:rsidRPr="00875564" w:rsidRDefault="00C938DA" w:rsidP="00786814">
            <w:pPr>
              <w:pStyle w:val="BodyText"/>
            </w:pPr>
            <w:hyperlink r:id="rId13" w:history="1">
              <w:r w:rsidR="00B12087" w:rsidRPr="00E56EB0">
                <w:rPr>
                  <w:rStyle w:val="Hyperlink"/>
                </w:rPr>
                <w:t>https://www.cardiffmet.ac.uk/research/Pages/concordat.aspx</w:t>
              </w:r>
            </w:hyperlink>
          </w:p>
        </w:tc>
      </w:tr>
      <w:tr w:rsidR="00B12087" w14:paraId="5BF8690B" w14:textId="77777777" w:rsidTr="00786814">
        <w:trPr>
          <w:trHeight w:val="567"/>
        </w:trPr>
        <w:tc>
          <w:tcPr>
            <w:tcW w:w="4531" w:type="dxa"/>
          </w:tcPr>
          <w:p w14:paraId="429CCA4E" w14:textId="77777777" w:rsidR="00B12087" w:rsidRPr="009727D9" w:rsidRDefault="00B12087" w:rsidP="00786814">
            <w:pPr>
              <w:pStyle w:val="BodyText"/>
              <w:rPr>
                <w:b/>
                <w:bCs/>
              </w:rPr>
            </w:pPr>
            <w:r w:rsidRPr="009727D9">
              <w:rPr>
                <w:b/>
                <w:bCs/>
              </w:rPr>
              <w:t>Contact for questions/concerns on researcher career development</w:t>
            </w:r>
          </w:p>
        </w:tc>
        <w:tc>
          <w:tcPr>
            <w:tcW w:w="6521" w:type="dxa"/>
          </w:tcPr>
          <w:p w14:paraId="1409EDE7" w14:textId="77777777" w:rsidR="00B12087" w:rsidRPr="00875564" w:rsidRDefault="00B12087" w:rsidP="00786814">
            <w:pPr>
              <w:pStyle w:val="BodyText"/>
            </w:pPr>
            <w:r>
              <w:t xml:space="preserve">Yvonne Morgan, Staff Development Officer </w:t>
            </w:r>
            <w:hyperlink r:id="rId14" w:history="1">
              <w:r w:rsidRPr="005360CA">
                <w:rPr>
                  <w:rStyle w:val="Hyperlink"/>
                </w:rPr>
                <w:t>Ymorgan@cardiffmet.ac.uk</w:t>
              </w:r>
            </w:hyperlink>
            <w:r>
              <w:t xml:space="preserve"> </w:t>
            </w:r>
          </w:p>
        </w:tc>
      </w:tr>
      <w:tr w:rsidR="00B12087" w14:paraId="670793EC" w14:textId="77777777" w:rsidTr="00786814">
        <w:tc>
          <w:tcPr>
            <w:tcW w:w="4531" w:type="dxa"/>
          </w:tcPr>
          <w:p w14:paraId="63E2B8B0" w14:textId="77777777" w:rsidR="00B12087" w:rsidRPr="009727D9" w:rsidRDefault="00B12087" w:rsidP="00786814">
            <w:pPr>
              <w:pStyle w:val="BodyText"/>
              <w:rPr>
                <w:b/>
                <w:bCs/>
              </w:rPr>
            </w:pPr>
            <w:r w:rsidRPr="009727D9">
              <w:rPr>
                <w:b/>
                <w:bCs/>
              </w:rPr>
              <w:t xml:space="preserve">Date statement sent to Researcher Development Concordat secretariat via </w:t>
            </w:r>
            <w:hyperlink r:id="rId15" w:history="1">
              <w:r w:rsidRPr="009727D9">
                <w:rPr>
                  <w:rStyle w:val="Hyperlink"/>
                  <w:b/>
                  <w:bCs/>
                </w:rPr>
                <w:t>CDRsecretariat@universitiesuk.ac.uk</w:t>
              </w:r>
            </w:hyperlink>
            <w:r w:rsidRPr="009727D9">
              <w:rPr>
                <w:b/>
                <w:bCs/>
              </w:rPr>
              <w:t xml:space="preserve"> </w:t>
            </w:r>
          </w:p>
        </w:tc>
        <w:tc>
          <w:tcPr>
            <w:tcW w:w="6521" w:type="dxa"/>
          </w:tcPr>
          <w:p w14:paraId="0BD43525" w14:textId="4C895CBE" w:rsidR="00B12087" w:rsidRPr="00875564" w:rsidRDefault="00F107FB" w:rsidP="00786814">
            <w:pPr>
              <w:pStyle w:val="BodyText"/>
            </w:pPr>
            <w:r>
              <w:t>14 February 2022</w:t>
            </w:r>
          </w:p>
        </w:tc>
      </w:tr>
    </w:tbl>
    <w:p w14:paraId="73EEEF10" w14:textId="2CD96482" w:rsidR="00AF22AF" w:rsidRPr="004748E3" w:rsidRDefault="00AF22AF" w:rsidP="00AF22AF">
      <w:pPr>
        <w:pStyle w:val="ListParagraph"/>
        <w:rPr>
          <w:bCs/>
          <w:sz w:val="22"/>
        </w:rPr>
      </w:pPr>
    </w:p>
    <w:tbl>
      <w:tblPr>
        <w:tblStyle w:val="TableGrid"/>
        <w:tblW w:w="11058" w:type="dxa"/>
        <w:tblInd w:w="-998" w:type="dxa"/>
        <w:tblLayout w:type="fixed"/>
        <w:tblLook w:val="04A0" w:firstRow="1" w:lastRow="0" w:firstColumn="1" w:lastColumn="0" w:noHBand="0" w:noVBand="1"/>
      </w:tblPr>
      <w:tblGrid>
        <w:gridCol w:w="1844"/>
        <w:gridCol w:w="9214"/>
      </w:tblGrid>
      <w:tr w:rsidR="00AF22AF" w14:paraId="1BD383A4" w14:textId="77777777" w:rsidTr="00472FD1">
        <w:trPr>
          <w:trHeight w:val="983"/>
        </w:trPr>
        <w:tc>
          <w:tcPr>
            <w:tcW w:w="11058" w:type="dxa"/>
            <w:gridSpan w:val="2"/>
          </w:tcPr>
          <w:p w14:paraId="2EFACEC5" w14:textId="77777777" w:rsidR="00AF22AF" w:rsidRPr="001038DC" w:rsidRDefault="00AF22AF" w:rsidP="007030E3">
            <w:pPr>
              <w:spacing w:before="240"/>
              <w:rPr>
                <w:b/>
                <w:bCs/>
                <w:sz w:val="22"/>
              </w:rPr>
            </w:pPr>
            <w:r w:rsidRPr="001038DC">
              <w:rPr>
                <w:b/>
                <w:bCs/>
                <w:sz w:val="22"/>
              </w:rPr>
              <w:t xml:space="preserve">Statement on how the organisation creates, </w:t>
            </w:r>
            <w:proofErr w:type="gramStart"/>
            <w:r w:rsidRPr="001038DC">
              <w:rPr>
                <w:b/>
                <w:bCs/>
                <w:sz w:val="22"/>
              </w:rPr>
              <w:t>maintains</w:t>
            </w:r>
            <w:proofErr w:type="gramEnd"/>
            <w:r w:rsidRPr="001038DC">
              <w:rPr>
                <w:b/>
                <w:bCs/>
                <w:sz w:val="22"/>
              </w:rPr>
              <w:t xml:space="preserve"> and embeds a research culture that upholds a positive and inclusive environment for researchers at all stages of their careers</w:t>
            </w:r>
          </w:p>
          <w:p w14:paraId="66DB2C56" w14:textId="77777777" w:rsidR="00AF22AF" w:rsidRPr="001038DC" w:rsidRDefault="00AF22AF" w:rsidP="007030E3">
            <w:pPr>
              <w:spacing w:before="240"/>
              <w:rPr>
                <w:rFonts w:cs="Arial"/>
                <w:sz w:val="22"/>
              </w:rPr>
            </w:pPr>
            <w:r w:rsidRPr="001038DC">
              <w:rPr>
                <w:rFonts w:cs="Arial"/>
                <w:sz w:val="22"/>
              </w:rPr>
              <w:t xml:space="preserve">We have made good progress in developing a strong and sustainable research environment. This is evidenced by a strong REF2021 result that increased our Quality Related (QR) </w:t>
            </w:r>
            <w:r>
              <w:rPr>
                <w:rFonts w:cs="Arial"/>
                <w:sz w:val="22"/>
              </w:rPr>
              <w:t xml:space="preserve">funding </w:t>
            </w:r>
            <w:r w:rsidRPr="001038DC">
              <w:rPr>
                <w:rFonts w:cs="Arial"/>
                <w:sz w:val="22"/>
              </w:rPr>
              <w:t xml:space="preserve">by over 80%, and the £1.4 million additional annual investment in our R&amp;I environment through our Research Wales Innovation Fund (RWIF) allocation. RWIF has enabled a systematic improvement of our research infrastructure through increased research capacity, volume, quality and impact, together with support for an open-access, integrity-based and </w:t>
            </w:r>
            <w:r>
              <w:rPr>
                <w:rFonts w:cs="Arial"/>
                <w:sz w:val="22"/>
              </w:rPr>
              <w:t xml:space="preserve">a </w:t>
            </w:r>
            <w:r w:rsidRPr="001038DC">
              <w:rPr>
                <w:rFonts w:cs="Arial"/>
                <w:sz w:val="22"/>
              </w:rPr>
              <w:t>collaborative</w:t>
            </w:r>
            <w:r>
              <w:rPr>
                <w:rFonts w:cs="Arial"/>
                <w:sz w:val="22"/>
              </w:rPr>
              <w:t>,</w:t>
            </w:r>
            <w:r w:rsidRPr="001038DC">
              <w:rPr>
                <w:rFonts w:cs="Arial"/>
                <w:sz w:val="22"/>
              </w:rPr>
              <w:t xml:space="preserve"> interdisciplinary research culture.</w:t>
            </w:r>
          </w:p>
          <w:p w14:paraId="0140D81B" w14:textId="77777777" w:rsidR="00AF22AF" w:rsidRPr="001038DC" w:rsidRDefault="00AF22AF" w:rsidP="007030E3">
            <w:pPr>
              <w:spacing w:before="240"/>
              <w:rPr>
                <w:rFonts w:cs="Arial"/>
                <w:sz w:val="22"/>
              </w:rPr>
            </w:pPr>
            <w:r w:rsidRPr="001038DC">
              <w:rPr>
                <w:rFonts w:cs="Arial"/>
                <w:sz w:val="22"/>
              </w:rPr>
              <w:t>Underpinned by these investments, our research culture is growing</w:t>
            </w:r>
            <w:r>
              <w:rPr>
                <w:rFonts w:cs="Arial"/>
                <w:sz w:val="22"/>
              </w:rPr>
              <w:t>,</w:t>
            </w:r>
            <w:r w:rsidRPr="001038DC">
              <w:rPr>
                <w:rFonts w:cs="Arial"/>
                <w:sz w:val="22"/>
              </w:rPr>
              <w:t xml:space="preserve"> with structured support now being offered via a wide range of initiatives. These include:</w:t>
            </w:r>
          </w:p>
          <w:p w14:paraId="2FAF36C3" w14:textId="77777777" w:rsidR="00AF22AF" w:rsidRPr="001038DC" w:rsidRDefault="00AF22AF" w:rsidP="007030E3">
            <w:pPr>
              <w:pStyle w:val="ListParagraph"/>
              <w:numPr>
                <w:ilvl w:val="0"/>
                <w:numId w:val="35"/>
              </w:numPr>
              <w:spacing w:before="240" w:after="240" w:line="264" w:lineRule="auto"/>
              <w:ind w:left="0" w:hanging="283"/>
              <w:rPr>
                <w:sz w:val="22"/>
              </w:rPr>
            </w:pPr>
            <w:r>
              <w:rPr>
                <w:sz w:val="22"/>
              </w:rPr>
              <w:t>T</w:t>
            </w:r>
            <w:r w:rsidRPr="001038DC">
              <w:rPr>
                <w:sz w:val="22"/>
              </w:rPr>
              <w:t>he ‘Women to Prof</w:t>
            </w:r>
            <w:r>
              <w:rPr>
                <w:sz w:val="22"/>
              </w:rPr>
              <w:t>essor’</w:t>
            </w:r>
            <w:r w:rsidRPr="001038DC">
              <w:rPr>
                <w:sz w:val="22"/>
              </w:rPr>
              <w:t xml:space="preserve"> Action Learning Sets, available to all women academics at any career stage, which have pushed our percentage of women in the Professoriate from well below the HESA benchmark to significantly above it and resulted in a career pipeline of Readers where women outnumber men</w:t>
            </w:r>
            <w:r>
              <w:rPr>
                <w:sz w:val="22"/>
              </w:rPr>
              <w:t xml:space="preserve"> by more than</w:t>
            </w:r>
            <w:r w:rsidRPr="001038DC">
              <w:rPr>
                <w:sz w:val="22"/>
              </w:rPr>
              <w:t xml:space="preserve"> 2:1.</w:t>
            </w:r>
          </w:p>
          <w:p w14:paraId="6FD49E18" w14:textId="77777777" w:rsidR="00AF22AF" w:rsidRPr="001038DC" w:rsidRDefault="00AF22AF" w:rsidP="007030E3">
            <w:pPr>
              <w:pStyle w:val="ListParagraph"/>
              <w:spacing w:before="240"/>
              <w:ind w:left="0"/>
              <w:rPr>
                <w:sz w:val="22"/>
              </w:rPr>
            </w:pPr>
          </w:p>
          <w:p w14:paraId="4AC20075" w14:textId="77777777" w:rsidR="00AF22AF" w:rsidRDefault="00AF22AF" w:rsidP="007030E3">
            <w:pPr>
              <w:pStyle w:val="ListParagraph"/>
              <w:numPr>
                <w:ilvl w:val="0"/>
                <w:numId w:val="35"/>
              </w:numPr>
              <w:spacing w:before="240" w:after="240" w:line="264" w:lineRule="auto"/>
              <w:ind w:left="0" w:hanging="283"/>
              <w:rPr>
                <w:sz w:val="22"/>
              </w:rPr>
            </w:pPr>
            <w:r w:rsidRPr="00B35257">
              <w:rPr>
                <w:sz w:val="22"/>
              </w:rPr>
              <w:lastRenderedPageBreak/>
              <w:t>Our ‘How I became…’ lecture series, open to all staff and research students, where research Professors from a range of backgrounds give a recorded 20-minute lunchtime talk followed by 40 minutes of Q&amp;A.</w:t>
            </w:r>
          </w:p>
          <w:p w14:paraId="0F9862CC" w14:textId="77777777" w:rsidR="00AF22AF" w:rsidRPr="00B35257" w:rsidRDefault="00AF22AF" w:rsidP="007030E3">
            <w:pPr>
              <w:pStyle w:val="ListParagraph"/>
              <w:ind w:left="0"/>
              <w:rPr>
                <w:sz w:val="22"/>
              </w:rPr>
            </w:pPr>
          </w:p>
          <w:p w14:paraId="6412DADD" w14:textId="77777777" w:rsidR="00AF22AF" w:rsidRPr="00B35257" w:rsidRDefault="00AF22AF" w:rsidP="007030E3">
            <w:pPr>
              <w:pStyle w:val="ListParagraph"/>
              <w:numPr>
                <w:ilvl w:val="0"/>
                <w:numId w:val="35"/>
              </w:numPr>
              <w:spacing w:before="240" w:after="240" w:line="264" w:lineRule="auto"/>
              <w:ind w:left="0" w:hanging="283"/>
              <w:rPr>
                <w:sz w:val="22"/>
              </w:rPr>
            </w:pPr>
            <w:r w:rsidRPr="00B35257">
              <w:rPr>
                <w:sz w:val="22"/>
              </w:rPr>
              <w:t>Our ‘Reveal’ programme, a targeted, bespoke support package aimed at emerging researchers with the potential to capture significant funding from cherished sources and which include</w:t>
            </w:r>
            <w:r>
              <w:rPr>
                <w:sz w:val="22"/>
              </w:rPr>
              <w:t>s</w:t>
            </w:r>
            <w:r w:rsidRPr="00B35257">
              <w:rPr>
                <w:sz w:val="22"/>
              </w:rPr>
              <w:t xml:space="preserve"> financial support, training and mentorship elements.</w:t>
            </w:r>
          </w:p>
          <w:p w14:paraId="42633750" w14:textId="77777777" w:rsidR="00AF22AF" w:rsidRPr="001038DC"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We acknowledge however that our research culture is not perfect, and that we are on a journey of change. Culture is experienced through the everyday behaviours, expectations, and norms that signal “the way we do things round here”. We recognise that our research environment is not as diverse as we would like it to be, and that we need to do more to provide a safe and supportive environment that enables individuals or groups within our research community to tell us when things are going wrong, and to sometimes challenge ‘the way we do things round here’.</w:t>
            </w:r>
          </w:p>
          <w:p w14:paraId="734DC888" w14:textId="77777777" w:rsidR="00AF22AF" w:rsidRPr="001038DC"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 xml:space="preserve">One step on this journey has involved recruiting a Staff Development Officer (SDO). The role holder herself </w:t>
            </w:r>
            <w:r>
              <w:rPr>
                <w:rFonts w:ascii="Arial" w:eastAsiaTheme="minorHAnsi" w:hAnsi="Arial" w:cs="Arial"/>
                <w:sz w:val="22"/>
                <w:szCs w:val="22"/>
                <w:lang w:eastAsia="en-US"/>
              </w:rPr>
              <w:t xml:space="preserve">positively </w:t>
            </w:r>
            <w:r w:rsidRPr="001038DC">
              <w:rPr>
                <w:rFonts w:ascii="Arial" w:eastAsiaTheme="minorHAnsi" w:hAnsi="Arial" w:cs="Arial"/>
                <w:sz w:val="22"/>
                <w:szCs w:val="22"/>
                <w:lang w:eastAsia="en-US"/>
              </w:rPr>
              <w:t>questions ‘the way we do things round here’, bringing best practice from other HEIs to improve our support for the career development of researchers. As part of the role, she will be taking day</w:t>
            </w:r>
            <w:r>
              <w:rPr>
                <w:rFonts w:ascii="Arial" w:eastAsiaTheme="minorHAnsi" w:hAnsi="Arial" w:cs="Arial"/>
                <w:sz w:val="22"/>
                <w:szCs w:val="22"/>
                <w:lang w:eastAsia="en-US"/>
              </w:rPr>
              <w:t>-</w:t>
            </w:r>
            <w:r w:rsidRPr="001038DC">
              <w:rPr>
                <w:rFonts w:ascii="Arial" w:eastAsiaTheme="minorHAnsi" w:hAnsi="Arial" w:cs="Arial"/>
                <w:sz w:val="22"/>
                <w:szCs w:val="22"/>
                <w:lang w:eastAsia="en-US"/>
              </w:rPr>
              <w:t>to</w:t>
            </w:r>
            <w:r>
              <w:rPr>
                <w:rFonts w:ascii="Arial" w:eastAsiaTheme="minorHAnsi" w:hAnsi="Arial" w:cs="Arial"/>
                <w:sz w:val="22"/>
                <w:szCs w:val="22"/>
                <w:lang w:eastAsia="en-US"/>
              </w:rPr>
              <w:t>-</w:t>
            </w:r>
            <w:r w:rsidRPr="001038DC">
              <w:rPr>
                <w:rFonts w:ascii="Arial" w:eastAsiaTheme="minorHAnsi" w:hAnsi="Arial" w:cs="Arial"/>
                <w:sz w:val="22"/>
                <w:szCs w:val="22"/>
                <w:lang w:eastAsia="en-US"/>
              </w:rPr>
              <w:t xml:space="preserve">day operational responsibility for the implementation of the Concordat. In Spring 2023, we will be speaking directly with our research community through a series of focus groups and interviews to gather views from across our research community on the challenges they face, what we are doing well as an institution, and what a better research culture might look like.  These interactions will form part of an ongoing project to </w:t>
            </w:r>
            <w:r>
              <w:rPr>
                <w:rFonts w:ascii="Arial" w:eastAsiaTheme="minorHAnsi" w:hAnsi="Arial" w:cs="Arial"/>
                <w:sz w:val="22"/>
                <w:szCs w:val="22"/>
                <w:lang w:eastAsia="en-US"/>
              </w:rPr>
              <w:t xml:space="preserve">further </w:t>
            </w:r>
            <w:r w:rsidRPr="001038DC">
              <w:rPr>
                <w:rFonts w:ascii="Arial" w:eastAsiaTheme="minorHAnsi" w:hAnsi="Arial" w:cs="Arial"/>
                <w:sz w:val="22"/>
                <w:szCs w:val="22"/>
                <w:lang w:eastAsia="en-US"/>
              </w:rPr>
              <w:t>promote a positive research culture, and the discussions will help us to propose solutions for change.</w:t>
            </w:r>
          </w:p>
          <w:p w14:paraId="0A130CC2" w14:textId="77777777" w:rsidR="00AF22AF" w:rsidRPr="001038DC"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 xml:space="preserve">Part of our planning for the 2023/24 academic year involves developing a Research Culture Statement on our commitment to achieving positive </w:t>
            </w:r>
            <w:proofErr w:type="gramStart"/>
            <w:r w:rsidRPr="001038DC">
              <w:rPr>
                <w:rFonts w:ascii="Arial" w:eastAsiaTheme="minorHAnsi" w:hAnsi="Arial" w:cs="Arial"/>
                <w:sz w:val="22"/>
                <w:szCs w:val="22"/>
                <w:lang w:eastAsia="en-US"/>
              </w:rPr>
              <w:t>change, and</w:t>
            </w:r>
            <w:proofErr w:type="gramEnd"/>
            <w:r w:rsidRPr="001038DC">
              <w:rPr>
                <w:rFonts w:ascii="Arial" w:eastAsiaTheme="minorHAnsi" w:hAnsi="Arial" w:cs="Arial"/>
                <w:sz w:val="22"/>
                <w:szCs w:val="22"/>
                <w:lang w:eastAsia="en-US"/>
              </w:rPr>
              <w:t xml:space="preserve"> including a series of actions to promote a more supportive, inclusive, and collaborative research culture.</w:t>
            </w:r>
          </w:p>
          <w:p w14:paraId="2D059BA0" w14:textId="77777777" w:rsidR="00B12087" w:rsidRDefault="00AF22AF" w:rsidP="007030E3">
            <w:pPr>
              <w:pStyle w:val="NormalWeb"/>
              <w:shd w:val="clear" w:color="auto" w:fill="FFFFFF"/>
              <w:rPr>
                <w:rFonts w:ascii="Arial" w:eastAsiaTheme="minorHAnsi" w:hAnsi="Arial" w:cs="Arial"/>
                <w:sz w:val="22"/>
                <w:szCs w:val="22"/>
                <w:lang w:eastAsia="en-US"/>
              </w:rPr>
            </w:pPr>
            <w:r w:rsidRPr="001038DC">
              <w:rPr>
                <w:rFonts w:ascii="Arial" w:eastAsiaTheme="minorHAnsi" w:hAnsi="Arial" w:cs="Arial"/>
                <w:sz w:val="22"/>
                <w:szCs w:val="22"/>
                <w:lang w:eastAsia="en-US"/>
              </w:rPr>
              <w:t>We recognise that building an inclusive and supportive Research Culture will be a dynamic process. We are committed to embedding good practice as it emerges, to embracing new opportunities, and to continuously reviewing our progress.</w:t>
            </w:r>
          </w:p>
          <w:p w14:paraId="17DD31FD" w14:textId="78F6BEE0" w:rsidR="0021148E" w:rsidRPr="007F51B3" w:rsidRDefault="0021148E" w:rsidP="007030E3">
            <w:pPr>
              <w:pStyle w:val="NormalWeb"/>
              <w:shd w:val="clear" w:color="auto" w:fill="FFFFFF"/>
              <w:rPr>
                <w:rFonts w:asciiTheme="minorHAnsi" w:eastAsiaTheme="minorHAnsi" w:hAnsiTheme="minorHAnsi" w:cstheme="minorBidi"/>
                <w:b/>
                <w:bCs/>
                <w:lang w:eastAsia="en-US"/>
              </w:rPr>
            </w:pPr>
          </w:p>
        </w:tc>
      </w:tr>
      <w:tr w:rsidR="00AF22AF" w14:paraId="3DEC90C2" w14:textId="77777777" w:rsidTr="00472FD1">
        <w:trPr>
          <w:trHeight w:val="983"/>
        </w:trPr>
        <w:tc>
          <w:tcPr>
            <w:tcW w:w="11058" w:type="dxa"/>
            <w:gridSpan w:val="2"/>
          </w:tcPr>
          <w:p w14:paraId="1C6DDE0E" w14:textId="7412E739" w:rsidR="00B12087" w:rsidRPr="00EE4921" w:rsidRDefault="00AF22AF" w:rsidP="001E104C">
            <w:pPr>
              <w:spacing w:before="240" w:after="240"/>
              <w:rPr>
                <w:b/>
                <w:bCs/>
                <w:i/>
                <w:iCs/>
              </w:rPr>
            </w:pPr>
            <w:r w:rsidRPr="001038DC">
              <w:rPr>
                <w:b/>
                <w:bCs/>
                <w:sz w:val="22"/>
              </w:rPr>
              <w:lastRenderedPageBreak/>
              <w:t xml:space="preserve">Provide a short summary of the institution’s strategic objectives and implementation plans for delivering each of the three pillars of the Concordat (environment and culture, employment, and professional development of researchers) for your key stakeholder groups together with your measures for evaluating progress and success </w:t>
            </w:r>
          </w:p>
        </w:tc>
      </w:tr>
      <w:tr w:rsidR="00AF22AF" w14:paraId="170523A1" w14:textId="77777777" w:rsidTr="00472FD1">
        <w:trPr>
          <w:trHeight w:val="2117"/>
        </w:trPr>
        <w:tc>
          <w:tcPr>
            <w:tcW w:w="11058" w:type="dxa"/>
            <w:gridSpan w:val="2"/>
          </w:tcPr>
          <w:p w14:paraId="377A3BDE" w14:textId="77777777" w:rsidR="00AF22AF" w:rsidRPr="00F445A2" w:rsidRDefault="00AF22AF" w:rsidP="00472FD1">
            <w:pPr>
              <w:rPr>
                <w:b/>
                <w:bCs/>
                <w:sz w:val="22"/>
              </w:rPr>
            </w:pPr>
            <w:r w:rsidRPr="00F445A2">
              <w:rPr>
                <w:b/>
                <w:bCs/>
                <w:sz w:val="22"/>
              </w:rPr>
              <w:t>Environment and culture</w:t>
            </w:r>
          </w:p>
          <w:p w14:paraId="675781DF" w14:textId="77777777" w:rsidR="00AF22AF" w:rsidRPr="008F3FEB" w:rsidRDefault="00AF22AF" w:rsidP="00472FD1">
            <w:pPr>
              <w:widowControl w:val="0"/>
              <w:autoSpaceDE w:val="0"/>
              <w:autoSpaceDN w:val="0"/>
              <w:adjustRightInd w:val="0"/>
              <w:snapToGrid w:val="0"/>
              <w:spacing w:before="120" w:after="160"/>
              <w:rPr>
                <w:rFonts w:cstheme="minorHAnsi"/>
                <w:sz w:val="22"/>
              </w:rPr>
            </w:pPr>
            <w:r w:rsidRPr="00F445A2">
              <w:rPr>
                <w:sz w:val="22"/>
              </w:rPr>
              <w:t>We are currently drafting the R&amp;I sub-strategy of the institution’s Strategy 2030</w:t>
            </w:r>
            <w:r>
              <w:rPr>
                <w:sz w:val="22"/>
              </w:rPr>
              <w:t>.</w:t>
            </w:r>
            <w:r w:rsidRPr="00F445A2">
              <w:rPr>
                <w:sz w:val="22"/>
              </w:rPr>
              <w:t xml:space="preserve"> </w:t>
            </w:r>
            <w:r>
              <w:rPr>
                <w:sz w:val="22"/>
              </w:rPr>
              <w:t>Relevant aspects under discussion and</w:t>
            </w:r>
            <w:r w:rsidRPr="00F445A2">
              <w:rPr>
                <w:sz w:val="22"/>
              </w:rPr>
              <w:t xml:space="preserve"> likely to feature</w:t>
            </w:r>
            <w:r>
              <w:rPr>
                <w:sz w:val="22"/>
              </w:rPr>
              <w:t xml:space="preserve"> include</w:t>
            </w:r>
            <w:r w:rsidRPr="00F445A2">
              <w:rPr>
                <w:sz w:val="22"/>
              </w:rPr>
              <w:t>:</w:t>
            </w:r>
          </w:p>
          <w:p w14:paraId="231E3A21" w14:textId="77777777" w:rsidR="00AF22AF" w:rsidRPr="006650FC" w:rsidRDefault="00AF22AF" w:rsidP="00AF22AF">
            <w:pPr>
              <w:pStyle w:val="ListParagraph"/>
              <w:numPr>
                <w:ilvl w:val="0"/>
                <w:numId w:val="33"/>
              </w:numPr>
              <w:spacing w:after="160"/>
              <w:ind w:left="456" w:hanging="218"/>
              <w:jc w:val="both"/>
              <w:rPr>
                <w:rFonts w:cstheme="minorHAnsi"/>
                <w:sz w:val="22"/>
              </w:rPr>
            </w:pPr>
            <w:r w:rsidRPr="00F445A2">
              <w:rPr>
                <w:rFonts w:cstheme="minorHAnsi"/>
                <w:sz w:val="22"/>
              </w:rPr>
              <w:t xml:space="preserve">research </w:t>
            </w:r>
            <w:proofErr w:type="gramStart"/>
            <w:r w:rsidRPr="00F445A2">
              <w:rPr>
                <w:rFonts w:cstheme="minorHAnsi"/>
                <w:sz w:val="22"/>
              </w:rPr>
              <w:t>studentships</w:t>
            </w:r>
            <w:r>
              <w:rPr>
                <w:rFonts w:cstheme="minorHAnsi"/>
                <w:sz w:val="22"/>
              </w:rPr>
              <w:t>;</w:t>
            </w:r>
            <w:proofErr w:type="gramEnd"/>
          </w:p>
          <w:p w14:paraId="59A8CFF7" w14:textId="77777777" w:rsidR="00AF22AF" w:rsidRPr="006650FC" w:rsidRDefault="00AF22AF" w:rsidP="00AF22AF">
            <w:pPr>
              <w:pStyle w:val="ListParagraph"/>
              <w:numPr>
                <w:ilvl w:val="0"/>
                <w:numId w:val="33"/>
              </w:numPr>
              <w:spacing w:after="160"/>
              <w:ind w:left="456" w:hanging="218"/>
              <w:jc w:val="both"/>
              <w:rPr>
                <w:rFonts w:cstheme="minorHAnsi"/>
                <w:sz w:val="22"/>
              </w:rPr>
            </w:pPr>
            <w:r w:rsidRPr="00F445A2">
              <w:rPr>
                <w:sz w:val="22"/>
              </w:rPr>
              <w:t xml:space="preserve">Athena SWAN and Race Equality Charter Mark </w:t>
            </w:r>
            <w:r>
              <w:rPr>
                <w:sz w:val="22"/>
              </w:rPr>
              <w:t xml:space="preserve">award </w:t>
            </w:r>
            <w:proofErr w:type="gramStart"/>
            <w:r>
              <w:rPr>
                <w:sz w:val="22"/>
              </w:rPr>
              <w:t>submission;</w:t>
            </w:r>
            <w:proofErr w:type="gramEnd"/>
          </w:p>
          <w:p w14:paraId="3C3F179D" w14:textId="77777777" w:rsidR="00AF22AF" w:rsidRPr="006650FC" w:rsidRDefault="00AF22AF" w:rsidP="00AF22AF">
            <w:pPr>
              <w:pStyle w:val="ListParagraph"/>
              <w:numPr>
                <w:ilvl w:val="0"/>
                <w:numId w:val="33"/>
              </w:numPr>
              <w:spacing w:after="160"/>
              <w:ind w:left="456" w:hanging="218"/>
              <w:jc w:val="both"/>
              <w:rPr>
                <w:rFonts w:cstheme="minorHAnsi"/>
                <w:sz w:val="22"/>
              </w:rPr>
            </w:pPr>
            <w:r>
              <w:rPr>
                <w:rFonts w:cstheme="minorHAnsi"/>
                <w:sz w:val="22"/>
              </w:rPr>
              <w:t>re</w:t>
            </w:r>
            <w:r w:rsidRPr="00F445A2">
              <w:rPr>
                <w:rFonts w:cstheme="minorHAnsi"/>
                <w:sz w:val="22"/>
              </w:rPr>
              <w:t>duce</w:t>
            </w:r>
            <w:r>
              <w:rPr>
                <w:rFonts w:cstheme="minorHAnsi"/>
                <w:sz w:val="22"/>
              </w:rPr>
              <w:t xml:space="preserve">d </w:t>
            </w:r>
            <w:r w:rsidRPr="00F445A2">
              <w:rPr>
                <w:rFonts w:cstheme="minorHAnsi"/>
                <w:sz w:val="22"/>
              </w:rPr>
              <w:t xml:space="preserve">teaching </w:t>
            </w:r>
            <w:proofErr w:type="gramStart"/>
            <w:r w:rsidRPr="00F445A2">
              <w:rPr>
                <w:rFonts w:cstheme="minorHAnsi"/>
                <w:sz w:val="22"/>
              </w:rPr>
              <w:t>burden</w:t>
            </w:r>
            <w:r>
              <w:rPr>
                <w:rFonts w:cstheme="minorHAnsi"/>
                <w:sz w:val="22"/>
              </w:rPr>
              <w:t>;</w:t>
            </w:r>
            <w:proofErr w:type="gramEnd"/>
          </w:p>
          <w:p w14:paraId="5B79B68E" w14:textId="77777777" w:rsidR="00AF22AF" w:rsidRPr="00F445A2" w:rsidRDefault="00AF22AF" w:rsidP="00AF22AF">
            <w:pPr>
              <w:pStyle w:val="ListParagraph"/>
              <w:numPr>
                <w:ilvl w:val="0"/>
                <w:numId w:val="33"/>
              </w:numPr>
              <w:spacing w:after="160"/>
              <w:ind w:left="456" w:hanging="218"/>
              <w:jc w:val="both"/>
              <w:rPr>
                <w:rFonts w:cstheme="minorHAnsi"/>
                <w:sz w:val="22"/>
              </w:rPr>
            </w:pPr>
            <w:r>
              <w:rPr>
                <w:rFonts w:cstheme="minorHAnsi"/>
                <w:sz w:val="22"/>
              </w:rPr>
              <w:t>r</w:t>
            </w:r>
            <w:r w:rsidRPr="00F445A2">
              <w:rPr>
                <w:rFonts w:cstheme="minorHAnsi"/>
                <w:sz w:val="22"/>
              </w:rPr>
              <w:t>esearcher awards.</w:t>
            </w:r>
          </w:p>
          <w:p w14:paraId="675D3B3A" w14:textId="77777777" w:rsidR="00AF22AF" w:rsidRPr="00F445A2" w:rsidRDefault="00AF22AF" w:rsidP="00472FD1"/>
          <w:p w14:paraId="7EB61182" w14:textId="77777777" w:rsidR="00AF22AF" w:rsidRPr="00F445A2" w:rsidRDefault="00AF22AF" w:rsidP="00472FD1">
            <w:pPr>
              <w:rPr>
                <w:b/>
                <w:bCs/>
                <w:sz w:val="22"/>
              </w:rPr>
            </w:pPr>
            <w:r w:rsidRPr="00F445A2">
              <w:rPr>
                <w:b/>
                <w:bCs/>
                <w:sz w:val="22"/>
              </w:rPr>
              <w:t>Employment</w:t>
            </w:r>
          </w:p>
          <w:p w14:paraId="29CAA895" w14:textId="77777777" w:rsidR="00AF22AF" w:rsidRDefault="00AF22AF" w:rsidP="00AF22AF">
            <w:pPr>
              <w:pStyle w:val="ListParagraph"/>
              <w:widowControl w:val="0"/>
              <w:numPr>
                <w:ilvl w:val="0"/>
                <w:numId w:val="40"/>
              </w:numPr>
              <w:autoSpaceDE w:val="0"/>
              <w:autoSpaceDN w:val="0"/>
              <w:adjustRightInd w:val="0"/>
              <w:snapToGrid w:val="0"/>
              <w:spacing w:before="120"/>
              <w:ind w:left="457" w:hanging="283"/>
              <w:rPr>
                <w:sz w:val="22"/>
              </w:rPr>
            </w:pPr>
            <w:r>
              <w:rPr>
                <w:sz w:val="22"/>
              </w:rPr>
              <w:t>r</w:t>
            </w:r>
            <w:r w:rsidRPr="00F445A2">
              <w:rPr>
                <w:sz w:val="22"/>
              </w:rPr>
              <w:t>ecruitment</w:t>
            </w:r>
            <w:r>
              <w:rPr>
                <w:sz w:val="22"/>
              </w:rPr>
              <w:t xml:space="preserve">, </w:t>
            </w:r>
            <w:r w:rsidRPr="00F445A2">
              <w:rPr>
                <w:sz w:val="22"/>
              </w:rPr>
              <w:t xml:space="preserve">selection </w:t>
            </w:r>
            <w:r>
              <w:rPr>
                <w:sz w:val="22"/>
              </w:rPr>
              <w:t>and career progression at all levels aligned to</w:t>
            </w:r>
            <w:r w:rsidRPr="00F445A2">
              <w:rPr>
                <w:sz w:val="22"/>
              </w:rPr>
              <w:t xml:space="preserve"> our EDI </w:t>
            </w:r>
            <w:proofErr w:type="gramStart"/>
            <w:r>
              <w:rPr>
                <w:sz w:val="22"/>
              </w:rPr>
              <w:t>values;</w:t>
            </w:r>
            <w:proofErr w:type="gramEnd"/>
          </w:p>
          <w:p w14:paraId="5EB21573" w14:textId="77777777" w:rsidR="00AF22AF" w:rsidRPr="006650FC" w:rsidRDefault="00AF22AF" w:rsidP="00AF22AF">
            <w:pPr>
              <w:pStyle w:val="ListParagraph"/>
              <w:widowControl w:val="0"/>
              <w:numPr>
                <w:ilvl w:val="0"/>
                <w:numId w:val="40"/>
              </w:numPr>
              <w:autoSpaceDE w:val="0"/>
              <w:autoSpaceDN w:val="0"/>
              <w:adjustRightInd w:val="0"/>
              <w:snapToGrid w:val="0"/>
              <w:spacing w:before="120"/>
              <w:ind w:left="457" w:hanging="283"/>
              <w:rPr>
                <w:sz w:val="22"/>
              </w:rPr>
            </w:pPr>
            <w:r w:rsidRPr="006650FC">
              <w:rPr>
                <w:sz w:val="22"/>
              </w:rPr>
              <w:t xml:space="preserve">significant investment in the R&amp;I staff </w:t>
            </w:r>
            <w:proofErr w:type="gramStart"/>
            <w:r w:rsidRPr="006650FC">
              <w:rPr>
                <w:sz w:val="22"/>
              </w:rPr>
              <w:t>base;</w:t>
            </w:r>
            <w:proofErr w:type="gramEnd"/>
          </w:p>
          <w:p w14:paraId="70EDB4E4" w14:textId="77777777" w:rsidR="00AF22AF" w:rsidRPr="006650FC" w:rsidRDefault="00AF22AF" w:rsidP="00AF22AF">
            <w:pPr>
              <w:pStyle w:val="ListParagraph"/>
              <w:numPr>
                <w:ilvl w:val="0"/>
                <w:numId w:val="33"/>
              </w:numPr>
              <w:ind w:left="456" w:hanging="218"/>
              <w:jc w:val="both"/>
              <w:rPr>
                <w:rFonts w:cstheme="minorHAnsi"/>
                <w:sz w:val="22"/>
              </w:rPr>
            </w:pPr>
            <w:r>
              <w:rPr>
                <w:sz w:val="22"/>
              </w:rPr>
              <w:t>r</w:t>
            </w:r>
            <w:r w:rsidRPr="00F445A2">
              <w:rPr>
                <w:sz w:val="22"/>
              </w:rPr>
              <w:t>ecruit</w:t>
            </w:r>
            <w:r>
              <w:rPr>
                <w:sz w:val="22"/>
              </w:rPr>
              <w:t xml:space="preserve">ment </w:t>
            </w:r>
            <w:r w:rsidRPr="00F445A2">
              <w:rPr>
                <w:sz w:val="22"/>
              </w:rPr>
              <w:t xml:space="preserve">of high-performing researchers </w:t>
            </w:r>
            <w:r>
              <w:rPr>
                <w:sz w:val="22"/>
              </w:rPr>
              <w:t>at</w:t>
            </w:r>
            <w:r w:rsidRPr="00F445A2">
              <w:rPr>
                <w:sz w:val="22"/>
              </w:rPr>
              <w:t xml:space="preserve"> a range </w:t>
            </w:r>
            <w:r>
              <w:rPr>
                <w:sz w:val="22"/>
              </w:rPr>
              <w:t>of</w:t>
            </w:r>
            <w:r w:rsidRPr="00F445A2">
              <w:rPr>
                <w:sz w:val="22"/>
              </w:rPr>
              <w:t xml:space="preserve"> levels </w:t>
            </w:r>
            <w:r>
              <w:rPr>
                <w:sz w:val="22"/>
              </w:rPr>
              <w:t>including</w:t>
            </w:r>
            <w:r w:rsidRPr="00F445A2">
              <w:rPr>
                <w:sz w:val="22"/>
              </w:rPr>
              <w:t xml:space="preserve"> </w:t>
            </w:r>
            <w:r>
              <w:rPr>
                <w:sz w:val="22"/>
              </w:rPr>
              <w:t xml:space="preserve">research </w:t>
            </w:r>
            <w:proofErr w:type="gramStart"/>
            <w:r>
              <w:rPr>
                <w:sz w:val="22"/>
              </w:rPr>
              <w:t>assistants</w:t>
            </w:r>
            <w:r w:rsidRPr="00F445A2">
              <w:rPr>
                <w:sz w:val="22"/>
              </w:rPr>
              <w:t>;</w:t>
            </w:r>
            <w:proofErr w:type="gramEnd"/>
          </w:p>
          <w:p w14:paraId="6A41800B" w14:textId="77777777" w:rsidR="00AF22AF" w:rsidRPr="008F3FEB" w:rsidRDefault="00AF22AF" w:rsidP="00AF22AF">
            <w:pPr>
              <w:pStyle w:val="ListParagraph"/>
              <w:numPr>
                <w:ilvl w:val="0"/>
                <w:numId w:val="33"/>
              </w:numPr>
              <w:ind w:left="456" w:hanging="218"/>
              <w:jc w:val="both"/>
              <w:rPr>
                <w:rFonts w:cstheme="minorHAnsi"/>
                <w:sz w:val="22"/>
              </w:rPr>
            </w:pPr>
            <w:r>
              <w:rPr>
                <w:rFonts w:cstheme="minorHAnsi"/>
                <w:sz w:val="22"/>
              </w:rPr>
              <w:t>fellowships.</w:t>
            </w:r>
          </w:p>
          <w:p w14:paraId="6DDA1184" w14:textId="77777777" w:rsidR="00AF22AF" w:rsidRPr="00F445A2" w:rsidRDefault="00AF22AF" w:rsidP="00472FD1"/>
          <w:p w14:paraId="61DEE7E4" w14:textId="77777777" w:rsidR="00AF22AF" w:rsidRPr="00F445A2" w:rsidRDefault="00AF22AF" w:rsidP="00472FD1">
            <w:pPr>
              <w:rPr>
                <w:b/>
                <w:bCs/>
                <w:sz w:val="22"/>
              </w:rPr>
            </w:pPr>
            <w:r w:rsidRPr="00F445A2">
              <w:rPr>
                <w:b/>
                <w:bCs/>
                <w:sz w:val="22"/>
              </w:rPr>
              <w:t>Professional Development of Researchers</w:t>
            </w:r>
          </w:p>
          <w:p w14:paraId="3F73083E" w14:textId="1DF96B97" w:rsidR="00AF22AF" w:rsidRPr="00C42EF6" w:rsidRDefault="00955A98" w:rsidP="00AF22AF">
            <w:pPr>
              <w:pStyle w:val="ListParagraph"/>
              <w:widowControl w:val="0"/>
              <w:numPr>
                <w:ilvl w:val="0"/>
                <w:numId w:val="41"/>
              </w:numPr>
              <w:autoSpaceDE w:val="0"/>
              <w:autoSpaceDN w:val="0"/>
              <w:adjustRightInd w:val="0"/>
              <w:snapToGrid w:val="0"/>
              <w:spacing w:before="120" w:after="160"/>
              <w:ind w:left="453" w:hanging="357"/>
              <w:rPr>
                <w:rFonts w:cstheme="minorHAnsi"/>
                <w:sz w:val="22"/>
              </w:rPr>
            </w:pPr>
            <w:r w:rsidRPr="00C42EF6">
              <w:rPr>
                <w:rFonts w:cstheme="minorHAnsi"/>
                <w:sz w:val="22"/>
              </w:rPr>
              <w:t xml:space="preserve">recognition of team as well as individual performance. </w:t>
            </w:r>
          </w:p>
          <w:p w14:paraId="3B101A60" w14:textId="77777777" w:rsidR="00AF22AF" w:rsidRPr="00C42EF6" w:rsidRDefault="00AF22AF" w:rsidP="00AF22AF">
            <w:pPr>
              <w:pStyle w:val="ListParagraph"/>
              <w:widowControl w:val="0"/>
              <w:numPr>
                <w:ilvl w:val="0"/>
                <w:numId w:val="41"/>
              </w:numPr>
              <w:autoSpaceDE w:val="0"/>
              <w:autoSpaceDN w:val="0"/>
              <w:adjustRightInd w:val="0"/>
              <w:snapToGrid w:val="0"/>
              <w:spacing w:before="120" w:after="160"/>
              <w:ind w:left="453" w:hanging="357"/>
              <w:rPr>
                <w:rFonts w:cstheme="minorHAnsi"/>
                <w:sz w:val="22"/>
              </w:rPr>
            </w:pPr>
            <w:r w:rsidRPr="00C42EF6">
              <w:rPr>
                <w:rFonts w:cstheme="minorHAnsi"/>
                <w:sz w:val="22"/>
              </w:rPr>
              <w:t xml:space="preserve">developing a high-performance research environment where time, space and support is given to </w:t>
            </w:r>
            <w:proofErr w:type="gramStart"/>
            <w:r w:rsidRPr="00C42EF6">
              <w:rPr>
                <w:rFonts w:cstheme="minorHAnsi"/>
                <w:sz w:val="22"/>
              </w:rPr>
              <w:t>research;</w:t>
            </w:r>
            <w:proofErr w:type="gramEnd"/>
          </w:p>
          <w:p w14:paraId="73D0A545" w14:textId="77777777" w:rsidR="00AF22AF" w:rsidRPr="00C42EF6" w:rsidRDefault="00AF22AF" w:rsidP="00AF22AF">
            <w:pPr>
              <w:pStyle w:val="ListParagraph"/>
              <w:widowControl w:val="0"/>
              <w:numPr>
                <w:ilvl w:val="0"/>
                <w:numId w:val="41"/>
              </w:numPr>
              <w:autoSpaceDE w:val="0"/>
              <w:autoSpaceDN w:val="0"/>
              <w:adjustRightInd w:val="0"/>
              <w:snapToGrid w:val="0"/>
              <w:spacing w:before="120" w:after="160"/>
              <w:ind w:left="453" w:hanging="357"/>
              <w:rPr>
                <w:sz w:val="22"/>
              </w:rPr>
            </w:pPr>
            <w:r w:rsidRPr="00C42EF6">
              <w:rPr>
                <w:sz w:val="22"/>
              </w:rPr>
              <w:t xml:space="preserve">a comprehensive R&amp;I staff development </w:t>
            </w:r>
            <w:proofErr w:type="gramStart"/>
            <w:r w:rsidRPr="00C42EF6">
              <w:rPr>
                <w:sz w:val="22"/>
              </w:rPr>
              <w:t>programme;</w:t>
            </w:r>
            <w:proofErr w:type="gramEnd"/>
          </w:p>
          <w:p w14:paraId="26614473" w14:textId="77777777" w:rsidR="00AF22AF" w:rsidRPr="00F445A2" w:rsidRDefault="00AF22AF" w:rsidP="00AF22AF">
            <w:pPr>
              <w:pStyle w:val="ListParagraph"/>
              <w:widowControl w:val="0"/>
              <w:numPr>
                <w:ilvl w:val="0"/>
                <w:numId w:val="41"/>
              </w:numPr>
              <w:autoSpaceDE w:val="0"/>
              <w:autoSpaceDN w:val="0"/>
              <w:adjustRightInd w:val="0"/>
              <w:snapToGrid w:val="0"/>
              <w:spacing w:before="120" w:after="160"/>
              <w:ind w:left="453" w:hanging="357"/>
              <w:rPr>
                <w:sz w:val="22"/>
              </w:rPr>
            </w:pPr>
            <w:r>
              <w:rPr>
                <w:sz w:val="22"/>
              </w:rPr>
              <w:t>a</w:t>
            </w:r>
            <w:r w:rsidRPr="00F445A2">
              <w:rPr>
                <w:sz w:val="22"/>
              </w:rPr>
              <w:t xml:space="preserve"> mentorship scheme to </w:t>
            </w:r>
            <w:r>
              <w:rPr>
                <w:sz w:val="22"/>
              </w:rPr>
              <w:t>help drive up</w:t>
            </w:r>
            <w:r w:rsidRPr="00F445A2">
              <w:rPr>
                <w:sz w:val="22"/>
              </w:rPr>
              <w:t xml:space="preserve"> research output </w:t>
            </w:r>
            <w:proofErr w:type="gramStart"/>
            <w:r w:rsidRPr="00F445A2">
              <w:rPr>
                <w:sz w:val="22"/>
              </w:rPr>
              <w:t>quality</w:t>
            </w:r>
            <w:r>
              <w:rPr>
                <w:sz w:val="22"/>
              </w:rPr>
              <w:t>;</w:t>
            </w:r>
            <w:proofErr w:type="gramEnd"/>
          </w:p>
          <w:p w14:paraId="7C8BB755" w14:textId="77777777" w:rsidR="00AF22AF" w:rsidRPr="00F445A2" w:rsidRDefault="00AF22AF" w:rsidP="00AF22AF">
            <w:pPr>
              <w:pStyle w:val="ListParagraph"/>
              <w:widowControl w:val="0"/>
              <w:numPr>
                <w:ilvl w:val="0"/>
                <w:numId w:val="41"/>
              </w:numPr>
              <w:autoSpaceDE w:val="0"/>
              <w:autoSpaceDN w:val="0"/>
              <w:adjustRightInd w:val="0"/>
              <w:snapToGrid w:val="0"/>
              <w:spacing w:before="120" w:after="160"/>
              <w:ind w:left="453" w:hanging="357"/>
            </w:pPr>
            <w:r w:rsidRPr="00F445A2">
              <w:rPr>
                <w:sz w:val="22"/>
              </w:rPr>
              <w:t xml:space="preserve">a schedule of funding calls to support </w:t>
            </w:r>
            <w:r>
              <w:rPr>
                <w:sz w:val="22"/>
              </w:rPr>
              <w:t>R&amp;I</w:t>
            </w:r>
            <w:r w:rsidRPr="00F445A2">
              <w:rPr>
                <w:sz w:val="22"/>
              </w:rPr>
              <w:t xml:space="preserve"> projects of all sizes, and academics at all career stages.</w:t>
            </w:r>
          </w:p>
        </w:tc>
      </w:tr>
      <w:tr w:rsidR="00AF22AF" w14:paraId="6AEEE9F3" w14:textId="77777777" w:rsidTr="00472FD1">
        <w:tc>
          <w:tcPr>
            <w:tcW w:w="11058" w:type="dxa"/>
            <w:gridSpan w:val="2"/>
          </w:tcPr>
          <w:p w14:paraId="3B3492C2" w14:textId="5A076AB8" w:rsidR="00B12087" w:rsidRPr="00BD487B" w:rsidRDefault="00AF22AF" w:rsidP="00F227A2">
            <w:pPr>
              <w:spacing w:before="240" w:after="240"/>
              <w:rPr>
                <w:b/>
                <w:bCs/>
                <w:i/>
                <w:iCs/>
              </w:rPr>
            </w:pPr>
            <w:r w:rsidRPr="00BD487B">
              <w:rPr>
                <w:b/>
                <w:bCs/>
                <w:sz w:val="22"/>
              </w:rPr>
              <w:lastRenderedPageBreak/>
              <w:t xml:space="preserve">Summary of actions taken, and evaluation of progress made, in the current reporting period to implement your plan to support the three pillars in respect of each of your key stakeholder groups [Institution; Academic Managers of Researchers (Deans, Heads of Schools/Departments/PIs); Researchers] </w:t>
            </w:r>
          </w:p>
        </w:tc>
      </w:tr>
      <w:tr w:rsidR="00AF22AF" w14:paraId="73A2820C" w14:textId="77777777" w:rsidTr="00472FD1">
        <w:trPr>
          <w:trHeight w:val="1535"/>
        </w:trPr>
        <w:tc>
          <w:tcPr>
            <w:tcW w:w="1844" w:type="dxa"/>
          </w:tcPr>
          <w:p w14:paraId="6A92086F" w14:textId="77777777" w:rsidR="00AF22AF" w:rsidRPr="00D01D8B" w:rsidRDefault="00AF22AF" w:rsidP="00472FD1">
            <w:pPr>
              <w:rPr>
                <w:b/>
                <w:bCs/>
                <w:sz w:val="22"/>
              </w:rPr>
            </w:pPr>
            <w:r w:rsidRPr="00D01D8B">
              <w:rPr>
                <w:b/>
                <w:bCs/>
                <w:sz w:val="22"/>
              </w:rPr>
              <w:t xml:space="preserve">Environment and </w:t>
            </w:r>
          </w:p>
          <w:p w14:paraId="7F5A7F95" w14:textId="77777777" w:rsidR="00AF22AF" w:rsidRDefault="00AF22AF" w:rsidP="00472FD1">
            <w:pPr>
              <w:rPr>
                <w:b/>
                <w:bCs/>
                <w:i/>
                <w:iCs/>
              </w:rPr>
            </w:pPr>
            <w:r w:rsidRPr="00D01D8B">
              <w:rPr>
                <w:b/>
                <w:bCs/>
                <w:sz w:val="22"/>
              </w:rPr>
              <w:t xml:space="preserve">Culture </w:t>
            </w:r>
          </w:p>
          <w:p w14:paraId="4DDD8199" w14:textId="77777777" w:rsidR="00AF22AF" w:rsidRPr="003908AD" w:rsidRDefault="00AF22AF" w:rsidP="00472FD1">
            <w:pPr>
              <w:rPr>
                <w:b/>
                <w:bCs/>
                <w:i/>
                <w:iCs/>
              </w:rPr>
            </w:pPr>
          </w:p>
        </w:tc>
        <w:tc>
          <w:tcPr>
            <w:tcW w:w="9214" w:type="dxa"/>
          </w:tcPr>
          <w:p w14:paraId="45C197D5" w14:textId="77777777" w:rsidR="00AF22AF" w:rsidRPr="001A22D1" w:rsidRDefault="00AF22AF" w:rsidP="00472FD1">
            <w:pPr>
              <w:rPr>
                <w:sz w:val="22"/>
              </w:rPr>
            </w:pPr>
            <w:r w:rsidRPr="001A22D1">
              <w:rPr>
                <w:sz w:val="22"/>
              </w:rPr>
              <w:t xml:space="preserve">The duration of the original Implementation Plan published by the University in February 2022 has been extended from the calendar year to the academic year 2022/23 as this reflects operational practice.  This will allow us to report on a full academic year from December 2023 onwards. </w:t>
            </w:r>
          </w:p>
          <w:p w14:paraId="2EEAAAA2" w14:textId="77777777" w:rsidR="00AF22AF" w:rsidRPr="001A22D1" w:rsidRDefault="00AF22AF" w:rsidP="00472FD1">
            <w:pPr>
              <w:rPr>
                <w:sz w:val="22"/>
              </w:rPr>
            </w:pPr>
          </w:p>
          <w:p w14:paraId="7BA0E409" w14:textId="77777777" w:rsidR="00AF22AF" w:rsidRPr="001A22D1" w:rsidRDefault="00AF22AF" w:rsidP="00472FD1">
            <w:pPr>
              <w:rPr>
                <w:sz w:val="22"/>
              </w:rPr>
            </w:pPr>
            <w:r w:rsidRPr="001A22D1">
              <w:rPr>
                <w:sz w:val="22"/>
              </w:rPr>
              <w:t xml:space="preserve">The focus of our 2022 Implementation Plan was to ensure that we were compliant with our institutional commitments to support the three pillars of the Concordat. Our Implementation Plan from 2023 onwards will capture our plans to support our academic managers and researchers under this pillar. </w:t>
            </w:r>
          </w:p>
          <w:p w14:paraId="66592FA5" w14:textId="77777777" w:rsidR="00AF22AF" w:rsidRPr="001A22D1" w:rsidRDefault="00AF22AF" w:rsidP="00472FD1">
            <w:pPr>
              <w:rPr>
                <w:sz w:val="22"/>
              </w:rPr>
            </w:pPr>
          </w:p>
          <w:p w14:paraId="0685A8E2" w14:textId="77777777" w:rsidR="00AF22AF" w:rsidRPr="001A22D1" w:rsidRDefault="00AF22AF" w:rsidP="00472FD1">
            <w:pPr>
              <w:rPr>
                <w:sz w:val="22"/>
              </w:rPr>
            </w:pPr>
            <w:r w:rsidRPr="001A22D1">
              <w:rPr>
                <w:sz w:val="22"/>
              </w:rPr>
              <w:t xml:space="preserve">The following is a summary of the actions taken through our 2022 Implementation Plan.   </w:t>
            </w:r>
          </w:p>
          <w:p w14:paraId="50AC94B5" w14:textId="77777777" w:rsidR="00AF22AF" w:rsidRPr="001A22D1" w:rsidRDefault="00AF22AF" w:rsidP="00472FD1">
            <w:pPr>
              <w:rPr>
                <w:sz w:val="22"/>
              </w:rPr>
            </w:pPr>
          </w:p>
          <w:p w14:paraId="07D1BCD9"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1A22D1">
              <w:rPr>
                <w:sz w:val="22"/>
              </w:rPr>
              <w:t xml:space="preserve">In March 2022 we published and translated our 2022 Annual Report to the Board of Governors on the University website. </w:t>
            </w:r>
          </w:p>
          <w:p w14:paraId="14468330"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1A22D1">
              <w:rPr>
                <w:sz w:val="22"/>
              </w:rPr>
              <w:t>The institutional Concordat Implementation Group was established. Chaired by the Director of Research, it meets twice a year.</w:t>
            </w:r>
          </w:p>
          <w:p w14:paraId="70237E4F"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continued to develop our ‘one-stop-shop’ web resource for our researchers.</w:t>
            </w:r>
          </w:p>
          <w:p w14:paraId="1CB18D8B"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appointed a Staff Development Officer in July 2022, giving us the opportunity to engage in an ongoing conversation with our researchers and their line managers.</w:t>
            </w:r>
          </w:p>
          <w:p w14:paraId="628FD640"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contacted all relevant staff in 2022 to make them aware of our commitments as a signatory of the Concordat and invit</w:t>
            </w:r>
            <w:r>
              <w:rPr>
                <w:sz w:val="22"/>
              </w:rPr>
              <w:t>e</w:t>
            </w:r>
            <w:r w:rsidRPr="00553FE3">
              <w:rPr>
                <w:sz w:val="22"/>
              </w:rPr>
              <w:t xml:space="preserve"> them to meetings with the Director of Research and Staff Development Officer to discuss how we might further improve the quality of our research environment.</w:t>
            </w:r>
          </w:p>
          <w:p w14:paraId="431B3D67"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 xml:space="preserve">These conversations with our Researchers and their line managers will take place in early 2023 to identify </w:t>
            </w:r>
            <w:r>
              <w:rPr>
                <w:sz w:val="22"/>
              </w:rPr>
              <w:t xml:space="preserve">the </w:t>
            </w:r>
            <w:r w:rsidRPr="00553FE3">
              <w:rPr>
                <w:sz w:val="22"/>
              </w:rPr>
              <w:t>support required. Our response will form part of our 2023/24 Implementation Plan.</w:t>
            </w:r>
          </w:p>
          <w:p w14:paraId="070F5E54" w14:textId="77777777" w:rsidR="00AF22AF" w:rsidRPr="006650FC" w:rsidRDefault="00AF22AF" w:rsidP="00AF22AF">
            <w:pPr>
              <w:pStyle w:val="ListParagraph"/>
              <w:numPr>
                <w:ilvl w:val="0"/>
                <w:numId w:val="34"/>
              </w:numPr>
              <w:spacing w:before="120" w:after="120" w:line="264" w:lineRule="auto"/>
              <w:ind w:left="455" w:hanging="284"/>
              <w:contextualSpacing w:val="0"/>
              <w:rPr>
                <w:sz w:val="22"/>
              </w:rPr>
            </w:pPr>
            <w:r w:rsidRPr="00553FE3">
              <w:rPr>
                <w:sz w:val="22"/>
              </w:rPr>
              <w:t>We continue to raise awareness of our Research Integrity and Governance Commitments via training and resources on our web pages, and in 2022 we subscribed to the UK Research Integrity Offices’ Services.</w:t>
            </w:r>
          </w:p>
        </w:tc>
      </w:tr>
      <w:tr w:rsidR="00AF22AF" w14:paraId="6B339028" w14:textId="77777777" w:rsidTr="00472FD1">
        <w:tc>
          <w:tcPr>
            <w:tcW w:w="1844" w:type="dxa"/>
          </w:tcPr>
          <w:p w14:paraId="3C63F5C7" w14:textId="77777777" w:rsidR="00AF22AF" w:rsidRPr="00D01D8B" w:rsidRDefault="00AF22AF" w:rsidP="00472FD1">
            <w:pPr>
              <w:rPr>
                <w:b/>
                <w:bCs/>
                <w:i/>
                <w:iCs/>
                <w:sz w:val="22"/>
              </w:rPr>
            </w:pPr>
            <w:r w:rsidRPr="00D01D8B">
              <w:rPr>
                <w:b/>
                <w:bCs/>
                <w:sz w:val="22"/>
              </w:rPr>
              <w:t>Employment</w:t>
            </w:r>
          </w:p>
          <w:p w14:paraId="61D8B107" w14:textId="77777777" w:rsidR="00AF22AF" w:rsidRPr="003908AD" w:rsidRDefault="00AF22AF" w:rsidP="00472FD1">
            <w:pPr>
              <w:rPr>
                <w:b/>
                <w:bCs/>
                <w:i/>
                <w:iCs/>
              </w:rPr>
            </w:pPr>
          </w:p>
          <w:p w14:paraId="510C3C4C" w14:textId="77777777" w:rsidR="00AF22AF" w:rsidRDefault="00AF22AF" w:rsidP="00472FD1">
            <w:pPr>
              <w:rPr>
                <w:b/>
                <w:bCs/>
              </w:rPr>
            </w:pPr>
          </w:p>
          <w:p w14:paraId="5D7218E2" w14:textId="77777777" w:rsidR="00AF22AF" w:rsidRDefault="00AF22AF" w:rsidP="00472FD1">
            <w:pPr>
              <w:rPr>
                <w:b/>
                <w:bCs/>
              </w:rPr>
            </w:pPr>
          </w:p>
          <w:p w14:paraId="7D3177CE" w14:textId="77777777" w:rsidR="00AF22AF" w:rsidRDefault="00AF22AF" w:rsidP="00472FD1">
            <w:pPr>
              <w:rPr>
                <w:b/>
                <w:bCs/>
              </w:rPr>
            </w:pPr>
          </w:p>
          <w:p w14:paraId="6DCE14A4" w14:textId="77777777" w:rsidR="00AF22AF" w:rsidRPr="007431E8" w:rsidRDefault="00AF22AF" w:rsidP="00472FD1">
            <w:pPr>
              <w:rPr>
                <w:b/>
                <w:bCs/>
              </w:rPr>
            </w:pPr>
          </w:p>
        </w:tc>
        <w:tc>
          <w:tcPr>
            <w:tcW w:w="9214" w:type="dxa"/>
            <w:shd w:val="clear" w:color="auto" w:fill="auto"/>
          </w:tcPr>
          <w:p w14:paraId="15FACCB2" w14:textId="77777777" w:rsidR="00AF22AF" w:rsidRPr="00AD31E8" w:rsidRDefault="00AF22AF" w:rsidP="00472FD1">
            <w:pPr>
              <w:spacing w:before="120" w:after="120"/>
              <w:rPr>
                <w:sz w:val="22"/>
              </w:rPr>
            </w:pPr>
            <w:r w:rsidRPr="00AD31E8">
              <w:rPr>
                <w:sz w:val="22"/>
              </w:rPr>
              <w:lastRenderedPageBreak/>
              <w:t xml:space="preserve">In our 2022 Implementation Plan we committed to </w:t>
            </w:r>
            <w:r>
              <w:rPr>
                <w:sz w:val="22"/>
              </w:rPr>
              <w:t>two key actions</w:t>
            </w:r>
            <w:r w:rsidRPr="00AD31E8">
              <w:rPr>
                <w:sz w:val="22"/>
              </w:rPr>
              <w:t xml:space="preserve"> </w:t>
            </w:r>
            <w:r>
              <w:rPr>
                <w:sz w:val="22"/>
              </w:rPr>
              <w:t>as part of</w:t>
            </w:r>
            <w:r w:rsidRPr="00AD31E8">
              <w:rPr>
                <w:sz w:val="22"/>
              </w:rPr>
              <w:t xml:space="preserve"> our commitment to this pillar</w:t>
            </w:r>
            <w:r>
              <w:rPr>
                <w:sz w:val="22"/>
              </w:rPr>
              <w:t>.</w:t>
            </w:r>
            <w:r w:rsidRPr="00AD31E8">
              <w:rPr>
                <w:sz w:val="22"/>
              </w:rPr>
              <w:t xml:space="preserve"> </w:t>
            </w:r>
            <w:r>
              <w:rPr>
                <w:sz w:val="22"/>
              </w:rPr>
              <w:t>The actions and progress made against them are detailed below:</w:t>
            </w:r>
            <w:r w:rsidRPr="00AD31E8">
              <w:rPr>
                <w:sz w:val="22"/>
              </w:rPr>
              <w:t xml:space="preserve"> </w:t>
            </w:r>
          </w:p>
          <w:p w14:paraId="518B788B" w14:textId="77777777" w:rsidR="00AF22AF" w:rsidRPr="00E91076" w:rsidRDefault="00AF22AF" w:rsidP="00472FD1">
            <w:pPr>
              <w:spacing w:before="120" w:after="120"/>
              <w:rPr>
                <w:sz w:val="22"/>
              </w:rPr>
            </w:pPr>
            <w:r>
              <w:rPr>
                <w:b/>
                <w:bCs/>
                <w:sz w:val="22"/>
              </w:rPr>
              <w:t xml:space="preserve">Commitment: </w:t>
            </w:r>
            <w:r w:rsidRPr="00E91076">
              <w:rPr>
                <w:sz w:val="22"/>
              </w:rPr>
              <w:t>Provide effective line and project management training opportunities for managers of researchers, heads of department and equivalent</w:t>
            </w:r>
            <w:r>
              <w:rPr>
                <w:sz w:val="22"/>
              </w:rPr>
              <w:t>.</w:t>
            </w:r>
          </w:p>
          <w:p w14:paraId="6E9C48F5" w14:textId="77777777" w:rsidR="00AF22AF" w:rsidRDefault="00AF22AF" w:rsidP="00472FD1">
            <w:pPr>
              <w:rPr>
                <w:sz w:val="22"/>
              </w:rPr>
            </w:pPr>
          </w:p>
          <w:p w14:paraId="7CA7BE62" w14:textId="77777777" w:rsidR="00AF22AF" w:rsidRPr="00790452" w:rsidRDefault="00AF22AF" w:rsidP="00472FD1">
            <w:pPr>
              <w:rPr>
                <w:b/>
                <w:bCs/>
                <w:sz w:val="22"/>
              </w:rPr>
            </w:pPr>
            <w:r>
              <w:rPr>
                <w:b/>
                <w:bCs/>
                <w:sz w:val="22"/>
              </w:rPr>
              <w:t>Progress</w:t>
            </w:r>
          </w:p>
          <w:p w14:paraId="4A3FBEA5" w14:textId="77777777" w:rsidR="00AF22AF" w:rsidRPr="00790452" w:rsidRDefault="00AF22AF" w:rsidP="00472FD1">
            <w:pPr>
              <w:rPr>
                <w:sz w:val="22"/>
              </w:rPr>
            </w:pPr>
            <w:r w:rsidRPr="00790452">
              <w:rPr>
                <w:sz w:val="22"/>
              </w:rPr>
              <w:t xml:space="preserve">We provide effective line management training opportunities for managers of all staff via the </w:t>
            </w:r>
            <w:proofErr w:type="spellStart"/>
            <w:r w:rsidRPr="00790452">
              <w:rPr>
                <w:sz w:val="22"/>
              </w:rPr>
              <w:t>manage@met</w:t>
            </w:r>
            <w:proofErr w:type="spellEnd"/>
            <w:r w:rsidRPr="00790452">
              <w:rPr>
                <w:sz w:val="22"/>
              </w:rPr>
              <w:t xml:space="preserve"> training programme and associated resources.  Training includes modules on wellbeing, mental health, and equality and diversity. The 2022 Staff survey found that 63% of staff are satisfied with the policies and processes in place to help them manage their health and wellbeing and 84% agreed that their line manager is open and approachable. </w:t>
            </w:r>
          </w:p>
          <w:p w14:paraId="0A81A253" w14:textId="77777777" w:rsidR="00AF22AF" w:rsidRDefault="00AF22AF" w:rsidP="00472FD1">
            <w:pPr>
              <w:rPr>
                <w:sz w:val="22"/>
              </w:rPr>
            </w:pPr>
          </w:p>
          <w:p w14:paraId="2A3D1096" w14:textId="77777777" w:rsidR="00AF22AF" w:rsidRPr="00790452" w:rsidRDefault="00AF22AF" w:rsidP="00472FD1">
            <w:pPr>
              <w:rPr>
                <w:b/>
                <w:bCs/>
                <w:sz w:val="22"/>
              </w:rPr>
            </w:pPr>
            <w:r>
              <w:rPr>
                <w:b/>
                <w:bCs/>
                <w:sz w:val="22"/>
              </w:rPr>
              <w:t>Further actions</w:t>
            </w:r>
          </w:p>
          <w:p w14:paraId="03B21A72" w14:textId="77777777" w:rsidR="00AF22AF" w:rsidRPr="00790452" w:rsidRDefault="00AF22AF" w:rsidP="00472FD1">
            <w:pPr>
              <w:rPr>
                <w:sz w:val="22"/>
              </w:rPr>
            </w:pPr>
            <w:r>
              <w:rPr>
                <w:sz w:val="22"/>
              </w:rPr>
              <w:t>The outcomes of our conversations with researchers and their line managers will be used in tandem with t</w:t>
            </w:r>
            <w:r w:rsidRPr="00790452">
              <w:rPr>
                <w:sz w:val="22"/>
              </w:rPr>
              <w:t xml:space="preserve">he outcomes of the 2022 All </w:t>
            </w:r>
            <w:r>
              <w:rPr>
                <w:sz w:val="22"/>
              </w:rPr>
              <w:t>S</w:t>
            </w:r>
            <w:r w:rsidRPr="00790452">
              <w:rPr>
                <w:sz w:val="22"/>
              </w:rPr>
              <w:t xml:space="preserve">taff survey to improve </w:t>
            </w:r>
            <w:r>
              <w:rPr>
                <w:sz w:val="22"/>
              </w:rPr>
              <w:t>our</w:t>
            </w:r>
            <w:r w:rsidRPr="00790452">
              <w:rPr>
                <w:sz w:val="22"/>
              </w:rPr>
              <w:t xml:space="preserve"> support for researchers and their line managers</w:t>
            </w:r>
            <w:r>
              <w:rPr>
                <w:sz w:val="22"/>
              </w:rPr>
              <w:t xml:space="preserve">. These actions </w:t>
            </w:r>
            <w:r w:rsidRPr="00790452">
              <w:rPr>
                <w:sz w:val="22"/>
              </w:rPr>
              <w:t xml:space="preserve">will be captured in the 2023/24 Implementation Plan. </w:t>
            </w:r>
          </w:p>
          <w:p w14:paraId="62AD339F" w14:textId="77777777" w:rsidR="00AF22AF" w:rsidRPr="00AD31E8" w:rsidRDefault="00AF22AF" w:rsidP="00472FD1">
            <w:pPr>
              <w:rPr>
                <w:sz w:val="22"/>
              </w:rPr>
            </w:pPr>
          </w:p>
          <w:p w14:paraId="29A23B0C" w14:textId="77777777" w:rsidR="00AF22AF" w:rsidRPr="00A01D57" w:rsidRDefault="00AF22AF" w:rsidP="00472FD1">
            <w:pPr>
              <w:rPr>
                <w:sz w:val="22"/>
              </w:rPr>
            </w:pPr>
            <w:r>
              <w:rPr>
                <w:b/>
                <w:bCs/>
                <w:sz w:val="22"/>
              </w:rPr>
              <w:t xml:space="preserve">Commitment: </w:t>
            </w:r>
            <w:r w:rsidRPr="00A01D57">
              <w:rPr>
                <w:sz w:val="22"/>
              </w:rPr>
              <w:t>Provide an effective induction, ensuring that researchers are integrated into the community and are aware of policies and practices relevant to their position.</w:t>
            </w:r>
          </w:p>
          <w:p w14:paraId="4FBFFE7F" w14:textId="77777777" w:rsidR="00AF22AF" w:rsidRDefault="00AF22AF" w:rsidP="00472FD1">
            <w:pPr>
              <w:pStyle w:val="ListParagraph"/>
              <w:rPr>
                <w:sz w:val="22"/>
              </w:rPr>
            </w:pPr>
          </w:p>
          <w:p w14:paraId="13931E63" w14:textId="77777777" w:rsidR="00AF22AF" w:rsidRDefault="00AF22AF" w:rsidP="00472FD1">
            <w:pPr>
              <w:rPr>
                <w:b/>
                <w:bCs/>
                <w:sz w:val="22"/>
              </w:rPr>
            </w:pPr>
            <w:r>
              <w:rPr>
                <w:b/>
                <w:bCs/>
                <w:sz w:val="22"/>
              </w:rPr>
              <w:t>Progress</w:t>
            </w:r>
          </w:p>
          <w:p w14:paraId="64472B50" w14:textId="77777777" w:rsidR="00AF22AF" w:rsidRDefault="00AF22AF" w:rsidP="00472FD1">
            <w:pPr>
              <w:rPr>
                <w:sz w:val="22"/>
              </w:rPr>
            </w:pPr>
            <w:r w:rsidRPr="001274D6">
              <w:rPr>
                <w:sz w:val="22"/>
              </w:rPr>
              <w:t>Cardiff Met provides corporate induction for all new starters to ensure they have access to key information, understand how the University functions and our focus. There are six mandatory e</w:t>
            </w:r>
            <w:r>
              <w:rPr>
                <w:sz w:val="22"/>
              </w:rPr>
              <w:t>-</w:t>
            </w:r>
            <w:r w:rsidRPr="001274D6">
              <w:rPr>
                <w:sz w:val="22"/>
              </w:rPr>
              <w:t>modules that must be completed within the first two weeks of employment and two mandatory face-to-face sessions that must be completed during the probation period. While Research and Innovation Services already participates in a digital</w:t>
            </w:r>
            <w:r>
              <w:rPr>
                <w:sz w:val="22"/>
              </w:rPr>
              <w:t xml:space="preserve"> online induction event called the</w:t>
            </w:r>
            <w:r w:rsidRPr="001274D6">
              <w:rPr>
                <w:sz w:val="22"/>
              </w:rPr>
              <w:t xml:space="preserve"> </w:t>
            </w:r>
            <w:r>
              <w:rPr>
                <w:sz w:val="22"/>
              </w:rPr>
              <w:t>‘</w:t>
            </w:r>
            <w:r w:rsidRPr="001274D6">
              <w:rPr>
                <w:sz w:val="22"/>
              </w:rPr>
              <w:t xml:space="preserve">All </w:t>
            </w:r>
            <w:r>
              <w:rPr>
                <w:sz w:val="22"/>
              </w:rPr>
              <w:t>S</w:t>
            </w:r>
            <w:r w:rsidRPr="001274D6">
              <w:rPr>
                <w:sz w:val="22"/>
              </w:rPr>
              <w:t xml:space="preserve">taff Benefits </w:t>
            </w:r>
            <w:r>
              <w:rPr>
                <w:sz w:val="22"/>
              </w:rPr>
              <w:t>M</w:t>
            </w:r>
            <w:r w:rsidRPr="001274D6">
              <w:rPr>
                <w:sz w:val="22"/>
              </w:rPr>
              <w:t>arket</w:t>
            </w:r>
            <w:r>
              <w:rPr>
                <w:sz w:val="22"/>
              </w:rPr>
              <w:t>’</w:t>
            </w:r>
            <w:r w:rsidRPr="001274D6">
              <w:rPr>
                <w:sz w:val="22"/>
              </w:rPr>
              <w:t xml:space="preserve"> we recognise the need for a specific ‘Researcher Induction’</w:t>
            </w:r>
            <w:r>
              <w:rPr>
                <w:sz w:val="22"/>
              </w:rPr>
              <w:t xml:space="preserve"> </w:t>
            </w:r>
            <w:r w:rsidRPr="001274D6">
              <w:rPr>
                <w:sz w:val="22"/>
              </w:rPr>
              <w:t>and the Staff Development Officer is committed to developing one.</w:t>
            </w:r>
          </w:p>
          <w:p w14:paraId="0E01840D" w14:textId="7FE08B26" w:rsidR="00B12087" w:rsidRDefault="00B12087" w:rsidP="00472FD1"/>
        </w:tc>
      </w:tr>
      <w:tr w:rsidR="00AF22AF" w14:paraId="16FEC488" w14:textId="77777777" w:rsidTr="00472FD1">
        <w:tc>
          <w:tcPr>
            <w:tcW w:w="1844" w:type="dxa"/>
          </w:tcPr>
          <w:p w14:paraId="342E3988" w14:textId="77777777" w:rsidR="00AF22AF" w:rsidRPr="00D01D8B" w:rsidRDefault="00AF22AF" w:rsidP="00472FD1">
            <w:pPr>
              <w:rPr>
                <w:b/>
                <w:bCs/>
                <w:i/>
                <w:iCs/>
                <w:sz w:val="22"/>
              </w:rPr>
            </w:pPr>
            <w:r w:rsidRPr="00D01D8B">
              <w:rPr>
                <w:b/>
                <w:bCs/>
                <w:sz w:val="22"/>
              </w:rPr>
              <w:lastRenderedPageBreak/>
              <w:t>Professional development</w:t>
            </w:r>
          </w:p>
          <w:p w14:paraId="6C61D891" w14:textId="77777777" w:rsidR="00AF22AF" w:rsidRPr="003908AD" w:rsidRDefault="00AF22AF" w:rsidP="00472FD1">
            <w:pPr>
              <w:rPr>
                <w:b/>
                <w:bCs/>
              </w:rPr>
            </w:pPr>
          </w:p>
          <w:p w14:paraId="00BE1B6E" w14:textId="77777777" w:rsidR="00AF22AF" w:rsidRDefault="00AF22AF" w:rsidP="00472FD1">
            <w:pPr>
              <w:rPr>
                <w:b/>
                <w:bCs/>
              </w:rPr>
            </w:pPr>
          </w:p>
          <w:p w14:paraId="182EFC0B" w14:textId="77777777" w:rsidR="00AF22AF" w:rsidRDefault="00AF22AF" w:rsidP="00472FD1">
            <w:pPr>
              <w:rPr>
                <w:b/>
                <w:bCs/>
              </w:rPr>
            </w:pPr>
          </w:p>
          <w:p w14:paraId="5D87E47F" w14:textId="77777777" w:rsidR="00AF22AF" w:rsidRDefault="00AF22AF" w:rsidP="00472FD1">
            <w:pPr>
              <w:rPr>
                <w:b/>
                <w:bCs/>
              </w:rPr>
            </w:pPr>
          </w:p>
          <w:p w14:paraId="4155D1D0" w14:textId="77777777" w:rsidR="00AF22AF" w:rsidRPr="007431E8" w:rsidRDefault="00AF22AF" w:rsidP="00472FD1">
            <w:pPr>
              <w:rPr>
                <w:b/>
                <w:bCs/>
              </w:rPr>
            </w:pPr>
          </w:p>
        </w:tc>
        <w:tc>
          <w:tcPr>
            <w:tcW w:w="9214" w:type="dxa"/>
          </w:tcPr>
          <w:p w14:paraId="145EE97D" w14:textId="77777777" w:rsidR="00AF22AF" w:rsidRDefault="00AF22AF" w:rsidP="00472FD1">
            <w:pPr>
              <w:rPr>
                <w:rFonts w:cs="Arial"/>
                <w:sz w:val="22"/>
              </w:rPr>
            </w:pPr>
            <w:r>
              <w:rPr>
                <w:sz w:val="22"/>
              </w:rPr>
              <w:t>The</w:t>
            </w:r>
            <w:r w:rsidRPr="002D6B45">
              <w:rPr>
                <w:sz w:val="22"/>
              </w:rPr>
              <w:t xml:space="preserve"> 2022 All </w:t>
            </w:r>
            <w:r>
              <w:rPr>
                <w:sz w:val="22"/>
              </w:rPr>
              <w:t>S</w:t>
            </w:r>
            <w:r w:rsidRPr="002D6B45">
              <w:rPr>
                <w:sz w:val="22"/>
              </w:rPr>
              <w:t xml:space="preserve">taff </w:t>
            </w:r>
            <w:r>
              <w:rPr>
                <w:sz w:val="22"/>
              </w:rPr>
              <w:t>S</w:t>
            </w:r>
            <w:r w:rsidRPr="002D6B45">
              <w:rPr>
                <w:sz w:val="22"/>
              </w:rPr>
              <w:t>urvey</w:t>
            </w:r>
            <w:r>
              <w:rPr>
                <w:sz w:val="22"/>
              </w:rPr>
              <w:t xml:space="preserve"> found that</w:t>
            </w:r>
            <w:r w:rsidRPr="00381049">
              <w:rPr>
                <w:b/>
                <w:bCs/>
                <w:sz w:val="22"/>
              </w:rPr>
              <w:t xml:space="preserve"> </w:t>
            </w:r>
            <w:r w:rsidRPr="00381049">
              <w:rPr>
                <w:sz w:val="22"/>
              </w:rPr>
              <w:t xml:space="preserve">68% of our staff </w:t>
            </w:r>
            <w:r>
              <w:rPr>
                <w:sz w:val="22"/>
              </w:rPr>
              <w:t>reported</w:t>
            </w:r>
            <w:r w:rsidRPr="00381049">
              <w:rPr>
                <w:sz w:val="22"/>
              </w:rPr>
              <w:t xml:space="preserve"> receiv</w:t>
            </w:r>
            <w:r>
              <w:rPr>
                <w:sz w:val="22"/>
              </w:rPr>
              <w:t>ing</w:t>
            </w:r>
            <w:r w:rsidRPr="00381049">
              <w:rPr>
                <w:sz w:val="22"/>
              </w:rPr>
              <w:t xml:space="preserve"> </w:t>
            </w:r>
            <w:r>
              <w:rPr>
                <w:sz w:val="22"/>
              </w:rPr>
              <w:t xml:space="preserve">the </w:t>
            </w:r>
            <w:r w:rsidRPr="00381049">
              <w:rPr>
                <w:sz w:val="22"/>
              </w:rPr>
              <w:t>training and development needed to do their job well</w:t>
            </w:r>
            <w:r>
              <w:rPr>
                <w:sz w:val="22"/>
              </w:rPr>
              <w:t xml:space="preserve">, while </w:t>
            </w:r>
            <w:r w:rsidRPr="00381049">
              <w:rPr>
                <w:sz w:val="22"/>
              </w:rPr>
              <w:t xml:space="preserve">73% responded positively to the statement that their line manager supports their career development. </w:t>
            </w:r>
            <w:r w:rsidRPr="001A22D1">
              <w:rPr>
                <w:rFonts w:cs="Arial"/>
                <w:sz w:val="22"/>
              </w:rPr>
              <w:t xml:space="preserve">In total, 57% responded positively that their career development aspirations are being met. While this is 16% above the external benchmark, it nevertheless suggests that there is a great deal of room for improvement and </w:t>
            </w:r>
            <w:r>
              <w:rPr>
                <w:rFonts w:cs="Arial"/>
                <w:sz w:val="22"/>
              </w:rPr>
              <w:t xml:space="preserve">all these aspects </w:t>
            </w:r>
            <w:r w:rsidRPr="001A22D1">
              <w:rPr>
                <w:rFonts w:cs="Arial"/>
                <w:sz w:val="22"/>
              </w:rPr>
              <w:t xml:space="preserve">will explored in our consultation with our researchers and their line managers. </w:t>
            </w:r>
          </w:p>
          <w:p w14:paraId="18301A7B" w14:textId="77777777" w:rsidR="00AF22AF" w:rsidRDefault="00AF22AF" w:rsidP="00472FD1">
            <w:pPr>
              <w:rPr>
                <w:rFonts w:cs="Arial"/>
                <w:sz w:val="22"/>
              </w:rPr>
            </w:pPr>
          </w:p>
          <w:p w14:paraId="0874B1C2" w14:textId="77777777" w:rsidR="00AF22AF" w:rsidRPr="003B7C7B" w:rsidRDefault="00AF22AF" w:rsidP="00472FD1">
            <w:pPr>
              <w:rPr>
                <w:rFonts w:cs="Arial"/>
                <w:sz w:val="22"/>
              </w:rPr>
            </w:pPr>
            <w:r>
              <w:rPr>
                <w:rFonts w:cs="Arial"/>
                <w:sz w:val="22"/>
              </w:rPr>
              <w:t>O</w:t>
            </w:r>
            <w:r w:rsidRPr="004D250A">
              <w:rPr>
                <w:rFonts w:cs="Arial"/>
                <w:sz w:val="22"/>
              </w:rPr>
              <w:t xml:space="preserve">ur 2022 Implementation Plan </w:t>
            </w:r>
            <w:r w:rsidRPr="003B7C7B">
              <w:rPr>
                <w:rFonts w:cs="Arial"/>
                <w:sz w:val="22"/>
              </w:rPr>
              <w:t xml:space="preserve">committed </w:t>
            </w:r>
            <w:r>
              <w:rPr>
                <w:rFonts w:cs="Arial"/>
                <w:sz w:val="22"/>
              </w:rPr>
              <w:t xml:space="preserve">us </w:t>
            </w:r>
            <w:r w:rsidRPr="003B7C7B">
              <w:rPr>
                <w:rFonts w:cs="Arial"/>
                <w:sz w:val="22"/>
              </w:rPr>
              <w:t>to develop</w:t>
            </w:r>
            <w:r>
              <w:rPr>
                <w:rFonts w:cs="Arial"/>
                <w:sz w:val="22"/>
              </w:rPr>
              <w:t>ing</w:t>
            </w:r>
            <w:r w:rsidRPr="003B7C7B">
              <w:rPr>
                <w:rFonts w:cs="Arial"/>
                <w:sz w:val="22"/>
              </w:rPr>
              <w:t xml:space="preserve"> the opportunities we provide to staff to ensure that the </w:t>
            </w:r>
            <w:r>
              <w:rPr>
                <w:rFonts w:cs="Arial"/>
                <w:sz w:val="22"/>
              </w:rPr>
              <w:t>i</w:t>
            </w:r>
            <w:r w:rsidRPr="003B7C7B">
              <w:rPr>
                <w:rFonts w:cs="Arial"/>
                <w:sz w:val="22"/>
              </w:rPr>
              <w:t xml:space="preserve">nstitution was supporting the implementation of this pillar </w:t>
            </w:r>
            <w:r>
              <w:rPr>
                <w:rFonts w:cs="Arial"/>
                <w:sz w:val="22"/>
              </w:rPr>
              <w:t>in the following ways:</w:t>
            </w:r>
          </w:p>
          <w:p w14:paraId="08FB88E2" w14:textId="77777777" w:rsidR="00AF22AF" w:rsidRPr="006650FC" w:rsidRDefault="00AF22AF" w:rsidP="00AF22AF">
            <w:pPr>
              <w:pStyle w:val="ListParagraph"/>
              <w:numPr>
                <w:ilvl w:val="0"/>
                <w:numId w:val="39"/>
              </w:numPr>
              <w:spacing w:before="120" w:after="120"/>
              <w:ind w:left="714" w:hanging="357"/>
              <w:contextualSpacing w:val="0"/>
              <w:rPr>
                <w:sz w:val="22"/>
              </w:rPr>
            </w:pPr>
            <w:r w:rsidRPr="00873944">
              <w:rPr>
                <w:sz w:val="22"/>
              </w:rPr>
              <w:t>In July 2022 we issued a training survey to all research</w:t>
            </w:r>
            <w:r>
              <w:rPr>
                <w:sz w:val="22"/>
              </w:rPr>
              <w:t>-</w:t>
            </w:r>
            <w:r w:rsidRPr="00873944">
              <w:rPr>
                <w:sz w:val="22"/>
              </w:rPr>
              <w:t>active staff asking them to advise what type of training / support they are interested in receiving</w:t>
            </w:r>
            <w:r>
              <w:rPr>
                <w:sz w:val="22"/>
              </w:rPr>
              <w:t>.</w:t>
            </w:r>
            <w:r w:rsidRPr="00873944">
              <w:rPr>
                <w:sz w:val="22"/>
              </w:rPr>
              <w:t xml:space="preserve"> </w:t>
            </w:r>
            <w:r>
              <w:rPr>
                <w:sz w:val="22"/>
              </w:rPr>
              <w:t xml:space="preserve">We </w:t>
            </w:r>
            <w:r w:rsidRPr="00873944">
              <w:rPr>
                <w:sz w:val="22"/>
              </w:rPr>
              <w:t xml:space="preserve">tailored our 2022/23 provision </w:t>
            </w:r>
            <w:r>
              <w:rPr>
                <w:sz w:val="22"/>
              </w:rPr>
              <w:t>accordingly and</w:t>
            </w:r>
            <w:r w:rsidRPr="00873944">
              <w:rPr>
                <w:sz w:val="22"/>
              </w:rPr>
              <w:t xml:space="preserve"> will monitor and report on the engagement of our staff in our 2023 Annual Report. </w:t>
            </w:r>
          </w:p>
          <w:p w14:paraId="34BEE87F" w14:textId="77777777" w:rsidR="00AF22AF" w:rsidRDefault="00AF22AF" w:rsidP="00AF22AF">
            <w:pPr>
              <w:pStyle w:val="ListParagraph"/>
              <w:numPr>
                <w:ilvl w:val="0"/>
                <w:numId w:val="39"/>
              </w:numPr>
              <w:spacing w:before="120" w:after="120"/>
              <w:ind w:left="714" w:hanging="357"/>
              <w:contextualSpacing w:val="0"/>
              <w:rPr>
                <w:sz w:val="22"/>
              </w:rPr>
            </w:pPr>
            <w:r>
              <w:rPr>
                <w:sz w:val="22"/>
              </w:rPr>
              <w:t>This academic year</w:t>
            </w:r>
            <w:r w:rsidRPr="00D52625">
              <w:rPr>
                <w:sz w:val="22"/>
              </w:rPr>
              <w:t xml:space="preserve"> we are prov</w:t>
            </w:r>
            <w:r>
              <w:rPr>
                <w:sz w:val="22"/>
              </w:rPr>
              <w:t>id</w:t>
            </w:r>
            <w:r w:rsidRPr="00D52625">
              <w:rPr>
                <w:sz w:val="22"/>
              </w:rPr>
              <w:t xml:space="preserve">ing training in bid development, research </w:t>
            </w:r>
            <w:r>
              <w:rPr>
                <w:sz w:val="22"/>
              </w:rPr>
              <w:t>i</w:t>
            </w:r>
            <w:r w:rsidRPr="00D52625">
              <w:rPr>
                <w:sz w:val="22"/>
              </w:rPr>
              <w:t>mpact, REF, Intellectual Property, tender writing, networking, public engagement,</w:t>
            </w:r>
            <w:r>
              <w:rPr>
                <w:sz w:val="22"/>
              </w:rPr>
              <w:t xml:space="preserve"> and</w:t>
            </w:r>
            <w:r w:rsidRPr="00D52625">
              <w:rPr>
                <w:sz w:val="22"/>
              </w:rPr>
              <w:t xml:space="preserve"> influencing policy makers.</w:t>
            </w:r>
          </w:p>
          <w:p w14:paraId="1AEA11ED" w14:textId="77777777" w:rsidR="00AF22AF" w:rsidRPr="006650FC" w:rsidRDefault="00AF22AF" w:rsidP="00AF22AF">
            <w:pPr>
              <w:pStyle w:val="ListParagraph"/>
              <w:numPr>
                <w:ilvl w:val="0"/>
                <w:numId w:val="39"/>
              </w:numPr>
              <w:spacing w:before="120" w:after="120"/>
              <w:ind w:left="714" w:hanging="357"/>
              <w:contextualSpacing w:val="0"/>
              <w:rPr>
                <w:sz w:val="22"/>
              </w:rPr>
            </w:pPr>
            <w:r w:rsidRPr="006650FC">
              <w:rPr>
                <w:sz w:val="22"/>
              </w:rPr>
              <w:t xml:space="preserve">In 2022 we joined the University Policy Engagement Network (UPEN) and have promoted their services and training to our staff. </w:t>
            </w:r>
          </w:p>
          <w:p w14:paraId="20BE7702" w14:textId="77777777" w:rsidR="00AF22AF" w:rsidRPr="006650FC" w:rsidRDefault="00AF22AF" w:rsidP="00AF22AF">
            <w:pPr>
              <w:pStyle w:val="ListParagraph"/>
              <w:numPr>
                <w:ilvl w:val="0"/>
                <w:numId w:val="39"/>
              </w:numPr>
              <w:spacing w:before="120" w:after="120"/>
              <w:ind w:left="714" w:hanging="357"/>
              <w:contextualSpacing w:val="0"/>
              <w:rPr>
                <w:sz w:val="22"/>
              </w:rPr>
            </w:pPr>
            <w:r w:rsidRPr="000D6A4B">
              <w:rPr>
                <w:sz w:val="22"/>
              </w:rPr>
              <w:t xml:space="preserve">We continue to participate in the Welsh Crucible Programme and </w:t>
            </w:r>
            <w:r>
              <w:rPr>
                <w:sz w:val="22"/>
              </w:rPr>
              <w:t xml:space="preserve">actively </w:t>
            </w:r>
            <w:r w:rsidRPr="000D6A4B">
              <w:rPr>
                <w:sz w:val="22"/>
              </w:rPr>
              <w:t xml:space="preserve">promote </w:t>
            </w:r>
            <w:r>
              <w:rPr>
                <w:sz w:val="22"/>
              </w:rPr>
              <w:t>it</w:t>
            </w:r>
            <w:r w:rsidRPr="000D6A4B">
              <w:rPr>
                <w:sz w:val="22"/>
              </w:rPr>
              <w:t xml:space="preserve"> our </w:t>
            </w:r>
            <w:r>
              <w:rPr>
                <w:sz w:val="22"/>
              </w:rPr>
              <w:t>r</w:t>
            </w:r>
            <w:r w:rsidRPr="000D6A4B">
              <w:rPr>
                <w:sz w:val="22"/>
              </w:rPr>
              <w:t>esearchers</w:t>
            </w:r>
            <w:r>
              <w:rPr>
                <w:sz w:val="22"/>
              </w:rPr>
              <w:t>.</w:t>
            </w:r>
          </w:p>
          <w:p w14:paraId="45E84D43" w14:textId="77777777" w:rsidR="00AF22AF" w:rsidRPr="006650FC" w:rsidRDefault="00AF22AF" w:rsidP="00AF22AF">
            <w:pPr>
              <w:pStyle w:val="ListParagraph"/>
              <w:numPr>
                <w:ilvl w:val="0"/>
                <w:numId w:val="39"/>
              </w:numPr>
              <w:spacing w:before="120" w:after="120"/>
              <w:ind w:left="714" w:hanging="357"/>
              <w:contextualSpacing w:val="0"/>
              <w:rPr>
                <w:sz w:val="22"/>
              </w:rPr>
            </w:pPr>
            <w:r>
              <w:rPr>
                <w:sz w:val="22"/>
              </w:rPr>
              <w:t>We are part of</w:t>
            </w:r>
            <w:r w:rsidRPr="00610AC0">
              <w:rPr>
                <w:sz w:val="22"/>
              </w:rPr>
              <w:t xml:space="preserve"> a network of Welsh Universities delivering the ‘Made in </w:t>
            </w:r>
            <w:proofErr w:type="gramStart"/>
            <w:r w:rsidRPr="00610AC0">
              <w:rPr>
                <w:sz w:val="22"/>
              </w:rPr>
              <w:t>Wales;</w:t>
            </w:r>
            <w:proofErr w:type="gramEnd"/>
            <w:r w:rsidRPr="00610AC0">
              <w:rPr>
                <w:sz w:val="22"/>
              </w:rPr>
              <w:t xml:space="preserve"> Researcher Career Researcher Stories</w:t>
            </w:r>
            <w:r>
              <w:rPr>
                <w:sz w:val="22"/>
              </w:rPr>
              <w:t>’</w:t>
            </w:r>
            <w:r w:rsidRPr="00610AC0">
              <w:rPr>
                <w:sz w:val="22"/>
              </w:rPr>
              <w:t xml:space="preserve"> series.  These events are aimed at early-career researcher (post-graduate and post-doctoral researchers)</w:t>
            </w:r>
            <w:r>
              <w:rPr>
                <w:sz w:val="22"/>
              </w:rPr>
              <w:t>.</w:t>
            </w:r>
            <w:r w:rsidRPr="00610AC0">
              <w:rPr>
                <w:sz w:val="22"/>
              </w:rPr>
              <w:t xml:space="preserve"> </w:t>
            </w:r>
            <w:r>
              <w:rPr>
                <w:sz w:val="22"/>
              </w:rPr>
              <w:t>Their</w:t>
            </w:r>
            <w:r w:rsidRPr="00610AC0">
              <w:rPr>
                <w:sz w:val="22"/>
              </w:rPr>
              <w:t xml:space="preserve"> purpose </w:t>
            </w:r>
            <w:r>
              <w:rPr>
                <w:sz w:val="22"/>
              </w:rPr>
              <w:t>i</w:t>
            </w:r>
            <w:r w:rsidRPr="00610AC0">
              <w:rPr>
                <w:sz w:val="22"/>
              </w:rPr>
              <w:t>s to give early career researchers an insight into the great variety of successful career options alongside the “traditional” academic route</w:t>
            </w:r>
            <w:r>
              <w:rPr>
                <w:sz w:val="22"/>
              </w:rPr>
              <w:t>.</w:t>
            </w:r>
          </w:p>
          <w:p w14:paraId="7BE8CC64" w14:textId="77777777" w:rsidR="00AF22AF" w:rsidRDefault="00AF22AF" w:rsidP="00AF22AF">
            <w:pPr>
              <w:pStyle w:val="ListParagraph"/>
              <w:numPr>
                <w:ilvl w:val="0"/>
                <w:numId w:val="39"/>
              </w:numPr>
              <w:spacing w:before="120" w:after="120"/>
              <w:ind w:left="714" w:hanging="357"/>
              <w:contextualSpacing w:val="0"/>
              <w:rPr>
                <w:sz w:val="22"/>
              </w:rPr>
            </w:pPr>
            <w:r w:rsidRPr="00610AC0">
              <w:rPr>
                <w:sz w:val="22"/>
              </w:rPr>
              <w:t xml:space="preserve">We have </w:t>
            </w:r>
            <w:r>
              <w:rPr>
                <w:sz w:val="22"/>
              </w:rPr>
              <w:t xml:space="preserve">also </w:t>
            </w:r>
            <w:r w:rsidRPr="00610AC0">
              <w:rPr>
                <w:sz w:val="22"/>
              </w:rPr>
              <w:t>built on the success of our 2021/22 series of career talks entitled ‘How I became…’</w:t>
            </w:r>
            <w:r>
              <w:rPr>
                <w:sz w:val="22"/>
              </w:rPr>
              <w:t xml:space="preserve"> which </w:t>
            </w:r>
            <w:r w:rsidRPr="00610AC0">
              <w:rPr>
                <w:sz w:val="22"/>
              </w:rPr>
              <w:t xml:space="preserve">involve members of our professoriate </w:t>
            </w:r>
            <w:r w:rsidRPr="00DA0DEC">
              <w:rPr>
                <w:sz w:val="22"/>
              </w:rPr>
              <w:t xml:space="preserve">giving an overview of their career path to date, their experiences, the benefits of moving between, and across employment sectors, the role of mentors and training secondments and key career advice they would give researchers. </w:t>
            </w:r>
            <w:r>
              <w:rPr>
                <w:sz w:val="22"/>
              </w:rPr>
              <w:t xml:space="preserve">Speakers to date have </w:t>
            </w:r>
            <w:r w:rsidRPr="00610AC0">
              <w:rPr>
                <w:sz w:val="22"/>
              </w:rPr>
              <w:t>includ</w:t>
            </w:r>
            <w:r>
              <w:rPr>
                <w:sz w:val="22"/>
              </w:rPr>
              <w:t>ed</w:t>
            </w:r>
            <w:r w:rsidRPr="00610AC0">
              <w:rPr>
                <w:sz w:val="22"/>
              </w:rPr>
              <w:t xml:space="preserve"> the Deputy Vice-Chancellor, Pro Vice-Chancellor for Research &amp; Innovation and the Director of Research</w:t>
            </w:r>
            <w:r>
              <w:rPr>
                <w:sz w:val="22"/>
              </w:rPr>
              <w:t>.</w:t>
            </w:r>
            <w:r w:rsidRPr="00610AC0">
              <w:rPr>
                <w:sz w:val="22"/>
              </w:rPr>
              <w:t xml:space="preserve"> In 2021/22 these sessions yielded 221 attendances and 116 YouTube views</w:t>
            </w:r>
            <w:r>
              <w:rPr>
                <w:sz w:val="22"/>
              </w:rPr>
              <w:t>.</w:t>
            </w:r>
          </w:p>
          <w:p w14:paraId="2CF61C5A" w14:textId="77777777" w:rsidR="00AF22AF" w:rsidRPr="001A22D1" w:rsidRDefault="00AF22AF" w:rsidP="00472FD1">
            <w:pPr>
              <w:pStyle w:val="ListParagraph"/>
              <w:rPr>
                <w:sz w:val="22"/>
              </w:rPr>
            </w:pPr>
          </w:p>
          <w:p w14:paraId="78AA84A1" w14:textId="77777777" w:rsidR="00AF22AF" w:rsidRDefault="00AF22AF" w:rsidP="00472FD1">
            <w:pPr>
              <w:rPr>
                <w:b/>
                <w:bCs/>
                <w:sz w:val="22"/>
              </w:rPr>
            </w:pPr>
            <w:r>
              <w:rPr>
                <w:b/>
                <w:bCs/>
                <w:sz w:val="22"/>
              </w:rPr>
              <w:t>Further Actions</w:t>
            </w:r>
          </w:p>
          <w:p w14:paraId="7FF77F90" w14:textId="77777777" w:rsidR="00AF22AF" w:rsidRDefault="00AF22AF" w:rsidP="00472FD1">
            <w:pPr>
              <w:rPr>
                <w:sz w:val="22"/>
              </w:rPr>
            </w:pPr>
            <w:r w:rsidRPr="00381049">
              <w:rPr>
                <w:sz w:val="22"/>
              </w:rPr>
              <w:t>The Staff Development Officer will organise focus groups and one</w:t>
            </w:r>
            <w:r>
              <w:rPr>
                <w:sz w:val="22"/>
              </w:rPr>
              <w:t>-</w:t>
            </w:r>
            <w:r w:rsidRPr="00381049">
              <w:rPr>
                <w:sz w:val="22"/>
              </w:rPr>
              <w:t>on</w:t>
            </w:r>
            <w:r>
              <w:rPr>
                <w:sz w:val="22"/>
              </w:rPr>
              <w:t>-</w:t>
            </w:r>
            <w:r w:rsidRPr="00381049">
              <w:rPr>
                <w:sz w:val="22"/>
              </w:rPr>
              <w:t xml:space="preserve">ones with our researchers and line mangers to ensure that the 2023/24 Implementation Plan reflects the needs of our key target groups. </w:t>
            </w:r>
          </w:p>
          <w:p w14:paraId="40AF0FD2" w14:textId="5A1F5B1E" w:rsidR="00B12087" w:rsidRPr="00B123FA" w:rsidRDefault="00B12087" w:rsidP="00472FD1">
            <w:pPr>
              <w:rPr>
                <w:sz w:val="22"/>
              </w:rPr>
            </w:pPr>
          </w:p>
        </w:tc>
      </w:tr>
      <w:tr w:rsidR="00AF22AF" w14:paraId="41D261A9" w14:textId="77777777" w:rsidTr="00472FD1">
        <w:trPr>
          <w:trHeight w:val="318"/>
        </w:trPr>
        <w:tc>
          <w:tcPr>
            <w:tcW w:w="11058" w:type="dxa"/>
            <w:gridSpan w:val="2"/>
          </w:tcPr>
          <w:p w14:paraId="46C655B2" w14:textId="7C171AB9" w:rsidR="00B12087" w:rsidRPr="002A2D97" w:rsidRDefault="00AF22AF" w:rsidP="00F227A2">
            <w:pPr>
              <w:spacing w:before="240" w:after="240"/>
              <w:rPr>
                <w:b/>
                <w:bCs/>
              </w:rPr>
            </w:pPr>
            <w:r w:rsidRPr="00D01D8B">
              <w:rPr>
                <w:b/>
                <w:bCs/>
                <w:sz w:val="22"/>
              </w:rPr>
              <w:t>Comment on any lessons learned from the activities undertaken over this period and any modifications you propose to make to your action plan and measures of success as a result</w:t>
            </w:r>
          </w:p>
        </w:tc>
      </w:tr>
      <w:tr w:rsidR="00AF22AF" w14:paraId="7BB73B93" w14:textId="77777777" w:rsidTr="00472FD1">
        <w:trPr>
          <w:trHeight w:val="318"/>
        </w:trPr>
        <w:tc>
          <w:tcPr>
            <w:tcW w:w="11058" w:type="dxa"/>
            <w:gridSpan w:val="2"/>
          </w:tcPr>
          <w:p w14:paraId="3EF95B9F" w14:textId="77777777" w:rsidR="00AF22AF" w:rsidRDefault="00AF22AF" w:rsidP="00472FD1">
            <w:pPr>
              <w:pStyle w:val="ListParagraph"/>
            </w:pPr>
          </w:p>
          <w:p w14:paraId="7F3CCAAF" w14:textId="77777777" w:rsidR="00AF22AF" w:rsidRPr="006650FC" w:rsidRDefault="00AF22AF" w:rsidP="00AF22AF">
            <w:pPr>
              <w:pStyle w:val="ListParagraph"/>
              <w:numPr>
                <w:ilvl w:val="0"/>
                <w:numId w:val="38"/>
              </w:numPr>
              <w:spacing w:before="120" w:after="120"/>
              <w:ind w:left="714" w:hanging="357"/>
              <w:contextualSpacing w:val="0"/>
              <w:rPr>
                <w:sz w:val="22"/>
              </w:rPr>
            </w:pPr>
            <w:r w:rsidRPr="006650FC">
              <w:rPr>
                <w:sz w:val="22"/>
              </w:rPr>
              <w:t xml:space="preserve">The CIG and the work carried out to date has allowed us to gauge our progress to date and understand where we are situated. This has provided a starting benchmark from which to build. </w:t>
            </w:r>
          </w:p>
          <w:p w14:paraId="5A38994D" w14:textId="77777777" w:rsidR="00AF22AF" w:rsidRPr="006650FC" w:rsidRDefault="00AF22AF" w:rsidP="00AF22AF">
            <w:pPr>
              <w:pStyle w:val="ListParagraph"/>
              <w:numPr>
                <w:ilvl w:val="0"/>
                <w:numId w:val="38"/>
              </w:numPr>
              <w:spacing w:before="120" w:after="120"/>
              <w:ind w:left="714" w:hanging="357"/>
              <w:contextualSpacing w:val="0"/>
              <w:rPr>
                <w:sz w:val="22"/>
              </w:rPr>
            </w:pPr>
            <w:r w:rsidRPr="006650FC">
              <w:rPr>
                <w:sz w:val="22"/>
              </w:rPr>
              <w:t>We have re-aligned the planning and reporting phases so that reporting occurs on the anniversary of our membership as per requirements, while planning aligns with academic years. This better reflects operational practice.</w:t>
            </w:r>
          </w:p>
          <w:p w14:paraId="485E1762" w14:textId="77777777" w:rsidR="00AF22AF" w:rsidRPr="006650FC" w:rsidRDefault="00AF22AF" w:rsidP="00AF22AF">
            <w:pPr>
              <w:pStyle w:val="ListParagraph"/>
              <w:numPr>
                <w:ilvl w:val="0"/>
                <w:numId w:val="38"/>
              </w:numPr>
              <w:spacing w:before="120" w:after="120"/>
              <w:ind w:left="714" w:hanging="357"/>
              <w:contextualSpacing w:val="0"/>
              <w:rPr>
                <w:sz w:val="22"/>
              </w:rPr>
            </w:pPr>
            <w:r w:rsidRPr="006650FC">
              <w:rPr>
                <w:sz w:val="22"/>
              </w:rPr>
              <w:t>The appointment of the Staff Development Officer has given us necessary additional resource through which to drive change.</w:t>
            </w:r>
          </w:p>
          <w:p w14:paraId="5CB3E078" w14:textId="77777777" w:rsidR="00AF22AF" w:rsidRDefault="00AF22AF" w:rsidP="00472FD1">
            <w:pPr>
              <w:rPr>
                <w:b/>
                <w:bCs/>
              </w:rPr>
            </w:pPr>
          </w:p>
        </w:tc>
      </w:tr>
      <w:tr w:rsidR="00AF22AF" w14:paraId="167F5F10" w14:textId="77777777" w:rsidTr="00472FD1">
        <w:trPr>
          <w:trHeight w:val="397"/>
        </w:trPr>
        <w:tc>
          <w:tcPr>
            <w:tcW w:w="11058" w:type="dxa"/>
            <w:gridSpan w:val="2"/>
          </w:tcPr>
          <w:p w14:paraId="3F756A64" w14:textId="77777777" w:rsidR="00AF22AF" w:rsidRPr="001038DC" w:rsidRDefault="00AF22AF" w:rsidP="00F227A2">
            <w:pPr>
              <w:spacing w:before="240" w:after="240"/>
              <w:rPr>
                <w:b/>
                <w:bCs/>
              </w:rPr>
            </w:pPr>
            <w:r w:rsidRPr="00D01D8B">
              <w:rPr>
                <w:b/>
                <w:bCs/>
                <w:sz w:val="22"/>
              </w:rPr>
              <w:t>Outline your key objectives in delivering your plan in the coming reporting period</w:t>
            </w:r>
          </w:p>
        </w:tc>
      </w:tr>
      <w:tr w:rsidR="00AF22AF" w14:paraId="23DB14DF" w14:textId="77777777" w:rsidTr="00472FD1">
        <w:trPr>
          <w:trHeight w:val="557"/>
        </w:trPr>
        <w:tc>
          <w:tcPr>
            <w:tcW w:w="11058" w:type="dxa"/>
            <w:gridSpan w:val="2"/>
          </w:tcPr>
          <w:p w14:paraId="2F6EAF65" w14:textId="77777777" w:rsidR="00AF22AF" w:rsidRDefault="00AF22AF" w:rsidP="00472FD1">
            <w:pPr>
              <w:rPr>
                <w:b/>
                <w:bCs/>
                <w:color w:val="FF0000"/>
              </w:rPr>
            </w:pPr>
          </w:p>
          <w:p w14:paraId="444B9394"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We will expand the membership of our CIG to include researchers and their line managers.</w:t>
            </w:r>
          </w:p>
          <w:p w14:paraId="22695F19"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 xml:space="preserve">The Staff Development Officer will take day-to-day operational responsibility for implementation of the Concordat and will meet with research staff in focus groups and 1:1 </w:t>
            </w:r>
            <w:proofErr w:type="gramStart"/>
            <w:r w:rsidRPr="006650FC">
              <w:rPr>
                <w:sz w:val="22"/>
              </w:rPr>
              <w:t>interviews</w:t>
            </w:r>
            <w:proofErr w:type="gramEnd"/>
            <w:r w:rsidRPr="006650FC">
              <w:rPr>
                <w:sz w:val="22"/>
              </w:rPr>
              <w:t xml:space="preserve"> to help shape our action plan.</w:t>
            </w:r>
          </w:p>
          <w:p w14:paraId="3F71FCC0"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The CIG will be invited to shape our Research Culture statement as we finalise our R&amp;I sub-strategy 2030.</w:t>
            </w:r>
          </w:p>
          <w:p w14:paraId="12FA3435"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We will establish a working group to turn feedback from focus groups, meetings and sessions into actions to support the three pillars of the Concordat within the 2023/24 Implementation Plan.</w:t>
            </w:r>
          </w:p>
          <w:p w14:paraId="23B1A2A8" w14:textId="77777777" w:rsidR="00AF22AF" w:rsidRPr="006650FC" w:rsidRDefault="00AF22AF" w:rsidP="00AF22AF">
            <w:pPr>
              <w:pStyle w:val="ListParagraph"/>
              <w:numPr>
                <w:ilvl w:val="0"/>
                <w:numId w:val="37"/>
              </w:numPr>
              <w:spacing w:before="120" w:after="120" w:line="264" w:lineRule="auto"/>
              <w:ind w:left="714" w:hanging="357"/>
              <w:contextualSpacing w:val="0"/>
              <w:rPr>
                <w:sz w:val="22"/>
              </w:rPr>
            </w:pPr>
            <w:r w:rsidRPr="006650FC">
              <w:rPr>
                <w:sz w:val="22"/>
              </w:rPr>
              <w:t>RIS will further develop the Research and Innovation induction to ensure researchers are aware of the support and training available to them to aid their career development, including internal funding opportunities and staff development activities.</w:t>
            </w:r>
          </w:p>
          <w:p w14:paraId="70B9D2DB" w14:textId="77777777" w:rsidR="00AF22AF" w:rsidRPr="0065714E" w:rsidRDefault="00AF22AF" w:rsidP="00AF22AF">
            <w:pPr>
              <w:pStyle w:val="ListParagraph"/>
              <w:numPr>
                <w:ilvl w:val="0"/>
                <w:numId w:val="37"/>
              </w:numPr>
              <w:spacing w:before="120" w:after="120" w:line="264" w:lineRule="auto"/>
              <w:ind w:left="714" w:hanging="357"/>
              <w:contextualSpacing w:val="0"/>
            </w:pPr>
            <w:r w:rsidRPr="006650FC">
              <w:rPr>
                <w:sz w:val="22"/>
              </w:rPr>
              <w:t xml:space="preserve">The results of the 2022 Cardiff Metropolitan University staff survey will be </w:t>
            </w:r>
            <w:proofErr w:type="gramStart"/>
            <w:r w:rsidRPr="006650FC">
              <w:rPr>
                <w:sz w:val="22"/>
              </w:rPr>
              <w:t>analysed</w:t>
            </w:r>
            <w:proofErr w:type="gramEnd"/>
            <w:r w:rsidRPr="006650FC">
              <w:rPr>
                <w:sz w:val="22"/>
              </w:rPr>
              <w:t xml:space="preserve"> and results will inform the 2023/24 Implementation Plan. </w:t>
            </w:r>
          </w:p>
        </w:tc>
      </w:tr>
      <w:tr w:rsidR="00AF22AF" w14:paraId="27BBD996" w14:textId="77777777" w:rsidTr="00472FD1">
        <w:trPr>
          <w:trHeight w:val="1871"/>
        </w:trPr>
        <w:tc>
          <w:tcPr>
            <w:tcW w:w="11058" w:type="dxa"/>
            <w:gridSpan w:val="2"/>
          </w:tcPr>
          <w:p w14:paraId="26BC657D" w14:textId="77777777" w:rsidR="00AF22AF" w:rsidRPr="00D01D8B" w:rsidRDefault="00AF22AF" w:rsidP="00472FD1">
            <w:pPr>
              <w:rPr>
                <w:b/>
                <w:bCs/>
                <w:i/>
                <w:iCs/>
                <w:sz w:val="22"/>
              </w:rPr>
            </w:pPr>
            <w:r w:rsidRPr="00D01D8B">
              <w:rPr>
                <w:b/>
                <w:bCs/>
                <w:sz w:val="22"/>
              </w:rPr>
              <w:t xml:space="preserve">Please provide a brief statement describing your institution’s approval process of this report prior to sign off by the governing body </w:t>
            </w:r>
          </w:p>
          <w:p w14:paraId="248E21E9" w14:textId="77777777" w:rsidR="00AF22AF" w:rsidRPr="001038DC" w:rsidRDefault="00AF22AF" w:rsidP="00472FD1">
            <w:pPr>
              <w:rPr>
                <w:b/>
                <w:bCs/>
                <w:i/>
                <w:iCs/>
                <w:sz w:val="22"/>
              </w:rPr>
            </w:pPr>
          </w:p>
          <w:p w14:paraId="7BB7B5A4" w14:textId="77777777" w:rsidR="00AF22AF" w:rsidRPr="006650FC" w:rsidRDefault="00AF22AF" w:rsidP="00472FD1">
            <w:pPr>
              <w:rPr>
                <w:sz w:val="22"/>
              </w:rPr>
            </w:pPr>
            <w:r w:rsidRPr="006650FC">
              <w:rPr>
                <w:sz w:val="22"/>
              </w:rPr>
              <w:t>This report was reviewed and approved by:</w:t>
            </w:r>
          </w:p>
          <w:p w14:paraId="51C05827" w14:textId="77777777" w:rsidR="00AF22AF" w:rsidRPr="006650FC" w:rsidRDefault="00AF22AF" w:rsidP="00472FD1">
            <w:pPr>
              <w:rPr>
                <w:sz w:val="22"/>
              </w:rPr>
            </w:pPr>
          </w:p>
          <w:p w14:paraId="5B02A882" w14:textId="77777777" w:rsidR="00AF22AF" w:rsidRPr="006650FC" w:rsidRDefault="00AF22AF" w:rsidP="00AF22AF">
            <w:pPr>
              <w:pStyle w:val="ListParagraph"/>
              <w:numPr>
                <w:ilvl w:val="0"/>
                <w:numId w:val="36"/>
              </w:numPr>
              <w:spacing w:after="240" w:line="264" w:lineRule="auto"/>
              <w:rPr>
                <w:sz w:val="22"/>
              </w:rPr>
            </w:pPr>
            <w:r w:rsidRPr="006650FC">
              <w:rPr>
                <w:sz w:val="22"/>
              </w:rPr>
              <w:t>the University Research &amp; Innovation Committee on 14</w:t>
            </w:r>
            <w:r w:rsidRPr="006650FC">
              <w:rPr>
                <w:sz w:val="22"/>
                <w:vertAlign w:val="superscript"/>
              </w:rPr>
              <w:t xml:space="preserve"> </w:t>
            </w:r>
            <w:r w:rsidRPr="006650FC">
              <w:rPr>
                <w:sz w:val="22"/>
              </w:rPr>
              <w:t xml:space="preserve">December </w:t>
            </w:r>
            <w:proofErr w:type="gramStart"/>
            <w:r w:rsidRPr="006650FC">
              <w:rPr>
                <w:sz w:val="22"/>
              </w:rPr>
              <w:t>2022;</w:t>
            </w:r>
            <w:proofErr w:type="gramEnd"/>
          </w:p>
          <w:p w14:paraId="100762FD" w14:textId="77777777" w:rsidR="00AF22AF" w:rsidRPr="005A0BAD" w:rsidRDefault="00AF22AF" w:rsidP="00AF22AF">
            <w:pPr>
              <w:pStyle w:val="ListParagraph"/>
              <w:numPr>
                <w:ilvl w:val="0"/>
                <w:numId w:val="36"/>
              </w:numPr>
              <w:spacing w:after="240" w:line="264" w:lineRule="auto"/>
              <w:rPr>
                <w:sz w:val="22"/>
              </w:rPr>
            </w:pPr>
            <w:r w:rsidRPr="006650FC">
              <w:rPr>
                <w:sz w:val="22"/>
              </w:rPr>
              <w:t xml:space="preserve">the institutional CIG on </w:t>
            </w:r>
            <w:r w:rsidRPr="005A0BAD">
              <w:rPr>
                <w:sz w:val="22"/>
              </w:rPr>
              <w:t>18 January 2023; and</w:t>
            </w:r>
          </w:p>
          <w:p w14:paraId="066D3CA2" w14:textId="77777777" w:rsidR="00AF22AF" w:rsidRPr="006650FC" w:rsidRDefault="00AF22AF" w:rsidP="00AF22AF">
            <w:pPr>
              <w:pStyle w:val="ListParagraph"/>
              <w:numPr>
                <w:ilvl w:val="0"/>
                <w:numId w:val="36"/>
              </w:numPr>
              <w:spacing w:after="240" w:line="264" w:lineRule="auto"/>
              <w:rPr>
                <w:sz w:val="22"/>
              </w:rPr>
            </w:pPr>
            <w:r w:rsidRPr="005A0BAD">
              <w:rPr>
                <w:sz w:val="22"/>
              </w:rPr>
              <w:t>the Board of Governors SPPC on 19</w:t>
            </w:r>
            <w:r w:rsidRPr="005A0BAD">
              <w:rPr>
                <w:sz w:val="22"/>
                <w:vertAlign w:val="superscript"/>
              </w:rPr>
              <w:t xml:space="preserve"> </w:t>
            </w:r>
            <w:r w:rsidRPr="005A0BAD">
              <w:rPr>
                <w:sz w:val="22"/>
              </w:rPr>
              <w:t>Jan 2023.</w:t>
            </w:r>
          </w:p>
        </w:tc>
      </w:tr>
    </w:tbl>
    <w:p w14:paraId="6C9714F3" w14:textId="77777777" w:rsidR="00AF22AF" w:rsidRDefault="00AF22AF" w:rsidP="00AF22AF"/>
    <w:p w14:paraId="7B0B96B9" w14:textId="55E593A3" w:rsidR="00AF22AF" w:rsidRDefault="00AF22AF" w:rsidP="00AF22AF">
      <w:pPr>
        <w:ind w:left="-993"/>
        <w:rPr>
          <w:sz w:val="22"/>
        </w:rPr>
      </w:pPr>
      <w:r w:rsidRPr="001038DC">
        <w:rPr>
          <w:sz w:val="22"/>
        </w:rPr>
        <w:t xml:space="preserve">Signature on behalf of governing body: </w:t>
      </w:r>
      <w:r>
        <w:rPr>
          <w:sz w:val="22"/>
        </w:rPr>
        <w:t xml:space="preserve">   </w:t>
      </w:r>
      <w:r w:rsidR="00C938DA">
        <w:rPr>
          <w:noProof/>
          <w:sz w:val="22"/>
        </w:rPr>
        <w:drawing>
          <wp:inline distT="0" distB="0" distL="0" distR="0" wp14:anchorId="479342CC" wp14:editId="777662A6">
            <wp:extent cx="1112704" cy="47475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9673" cy="494793"/>
                    </a:xfrm>
                    <a:prstGeom prst="rect">
                      <a:avLst/>
                    </a:prstGeom>
                  </pic:spPr>
                </pic:pic>
              </a:graphicData>
            </a:graphic>
          </wp:inline>
        </w:drawing>
      </w:r>
      <w:r>
        <w:rPr>
          <w:sz w:val="22"/>
        </w:rPr>
        <w:t xml:space="preserve">                                              </w:t>
      </w:r>
    </w:p>
    <w:p w14:paraId="06A23F81" w14:textId="77777777" w:rsidR="00AF22AF" w:rsidRDefault="00AF22AF" w:rsidP="00AF22AF">
      <w:pPr>
        <w:ind w:left="-993"/>
        <w:rPr>
          <w:sz w:val="22"/>
        </w:rPr>
      </w:pPr>
    </w:p>
    <w:p w14:paraId="4AE6ED51" w14:textId="7E9C8C30" w:rsidR="00537AEA" w:rsidRPr="00AF22AF" w:rsidRDefault="00AF22AF" w:rsidP="00AF22AF">
      <w:pPr>
        <w:ind w:left="-993"/>
        <w:jc w:val="both"/>
        <w:rPr>
          <w:sz w:val="22"/>
        </w:rPr>
      </w:pPr>
      <w:r>
        <w:rPr>
          <w:sz w:val="22"/>
        </w:rPr>
        <w:t>T</w:t>
      </w:r>
      <w:r w:rsidRPr="001038DC">
        <w:rPr>
          <w:sz w:val="22"/>
        </w:rPr>
        <w:t xml:space="preserve">his annual report will be analysed by Universities UK, secretariat for the Concordat to Support the Career Development of Researchers, to identify good practices, themes for development and information to improve national research culture policy and practice. If you have any questions, or suggestions on how the reporting process could be improved, please contact the secretariat at </w:t>
      </w:r>
      <w:hyperlink r:id="rId17" w:history="1">
        <w:r w:rsidRPr="001038DC">
          <w:rPr>
            <w:rStyle w:val="Hyperlink"/>
            <w:sz w:val="22"/>
          </w:rPr>
          <w:t>CDRsecretariat@universitiesuk.ac.uk</w:t>
        </w:r>
      </w:hyperlink>
      <w:r w:rsidRPr="001038DC">
        <w:rPr>
          <w:sz w:val="22"/>
        </w:rPr>
        <w:t xml:space="preserve"> </w:t>
      </w:r>
      <w:r>
        <w:rPr>
          <w:sz w:val="22"/>
        </w:rPr>
        <w:t xml:space="preserve"> / /</w:t>
      </w:r>
      <w:hyperlink r:id="rId18" w:history="1">
        <w:r w:rsidRPr="00A9416E">
          <w:rPr>
            <w:rStyle w:val="Hyperlink"/>
            <w:sz w:val="22"/>
          </w:rPr>
          <w:t>www.researcherdevelopmentconcordat.ac.uk</w:t>
        </w:r>
      </w:hyperlink>
      <w:r w:rsidRPr="001038DC">
        <w:rPr>
          <w:sz w:val="22"/>
        </w:rPr>
        <w:t xml:space="preserve"> </w:t>
      </w:r>
    </w:p>
    <w:sectPr w:rsidR="00537AEA" w:rsidRPr="00AF22A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E0DB" w14:textId="77777777" w:rsidR="005B0A16" w:rsidRDefault="005B0A16" w:rsidP="005D3AB3">
      <w:pPr>
        <w:spacing w:after="0" w:line="240" w:lineRule="auto"/>
      </w:pPr>
      <w:r>
        <w:separator/>
      </w:r>
    </w:p>
  </w:endnote>
  <w:endnote w:type="continuationSeparator" w:id="0">
    <w:p w14:paraId="444DB728" w14:textId="77777777" w:rsidR="005B0A16" w:rsidRDefault="005B0A16" w:rsidP="005D3AB3">
      <w:pPr>
        <w:spacing w:after="0" w:line="240" w:lineRule="auto"/>
      </w:pPr>
      <w:r>
        <w:continuationSeparator/>
      </w:r>
    </w:p>
  </w:endnote>
  <w:endnote w:type="continuationNotice" w:id="1">
    <w:p w14:paraId="47375447" w14:textId="77777777" w:rsidR="005B0A16" w:rsidRDefault="005B0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B25B" w14:textId="77777777" w:rsidR="005B0A16" w:rsidRDefault="005B0A16" w:rsidP="005D3AB3">
      <w:pPr>
        <w:spacing w:after="0" w:line="240" w:lineRule="auto"/>
      </w:pPr>
      <w:r>
        <w:separator/>
      </w:r>
    </w:p>
  </w:footnote>
  <w:footnote w:type="continuationSeparator" w:id="0">
    <w:p w14:paraId="3FC8512A" w14:textId="77777777" w:rsidR="005B0A16" w:rsidRDefault="005B0A16" w:rsidP="005D3AB3">
      <w:pPr>
        <w:spacing w:after="0" w:line="240" w:lineRule="auto"/>
      </w:pPr>
      <w:r>
        <w:continuationSeparator/>
      </w:r>
    </w:p>
  </w:footnote>
  <w:footnote w:type="continuationNotice" w:id="1">
    <w:p w14:paraId="303E5341" w14:textId="77777777" w:rsidR="005B0A16" w:rsidRDefault="005B0A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A1F"/>
    <w:multiLevelType w:val="hybridMultilevel"/>
    <w:tmpl w:val="7B341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0376F"/>
    <w:multiLevelType w:val="hybridMultilevel"/>
    <w:tmpl w:val="C39E2B9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4A4152"/>
    <w:multiLevelType w:val="hybridMultilevel"/>
    <w:tmpl w:val="550A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D0AFE"/>
    <w:multiLevelType w:val="hybridMultilevel"/>
    <w:tmpl w:val="ADB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40E4"/>
    <w:multiLevelType w:val="multilevel"/>
    <w:tmpl w:val="1A0EDEB8"/>
    <w:lvl w:ilvl="0">
      <w:start w:val="1"/>
      <w:numFmt w:val="decimal"/>
      <w:lvlText w:val="%1."/>
      <w:lvlJc w:val="left"/>
      <w:pPr>
        <w:ind w:left="547" w:hanging="405"/>
      </w:pPr>
      <w:rPr>
        <w:b/>
        <w:i w:val="0"/>
        <w:sz w:val="24"/>
      </w:rPr>
    </w:lvl>
    <w:lvl w:ilvl="1">
      <w:start w:val="1"/>
      <w:numFmt w:val="decimal"/>
      <w:lvlText w:val="%1.%2"/>
      <w:lvlJc w:val="left"/>
      <w:pPr>
        <w:ind w:left="2106" w:hanging="405"/>
      </w:pPr>
      <w:rPr>
        <w:b w:val="0"/>
        <w:bCs/>
        <w:i w:val="0"/>
        <w:iCs w:val="0"/>
        <w:color w:val="auto"/>
      </w:rPr>
    </w:lvl>
    <w:lvl w:ilvl="2">
      <w:start w:val="1"/>
      <w:numFmt w:val="decimal"/>
      <w:lvlText w:val="%1.%2.%3"/>
      <w:lvlJc w:val="left"/>
      <w:pPr>
        <w:ind w:left="720" w:hanging="720"/>
      </w:pPr>
      <w:rPr>
        <w:b w:val="0"/>
      </w:rPr>
    </w:lvl>
    <w:lvl w:ilvl="3">
      <w:start w:val="1"/>
      <w:numFmt w:val="decimal"/>
      <w:lvlText w:val="%1.%2.%3.%4"/>
      <w:lvlJc w:val="left"/>
      <w:pPr>
        <w:ind w:left="3382" w:hanging="1080"/>
      </w:pPr>
    </w:lvl>
    <w:lvl w:ilvl="4">
      <w:start w:val="1"/>
      <w:numFmt w:val="decimal"/>
      <w:lvlText w:val="%1.%2.%3.%4.%5"/>
      <w:lvlJc w:val="left"/>
      <w:pPr>
        <w:ind w:left="4102" w:hanging="1080"/>
      </w:pPr>
    </w:lvl>
    <w:lvl w:ilvl="5">
      <w:start w:val="1"/>
      <w:numFmt w:val="decimal"/>
      <w:lvlText w:val="%1.%2.%3.%4.%5.%6"/>
      <w:lvlJc w:val="left"/>
      <w:pPr>
        <w:ind w:left="5182" w:hanging="1440"/>
      </w:pPr>
    </w:lvl>
    <w:lvl w:ilvl="6">
      <w:start w:val="1"/>
      <w:numFmt w:val="decimal"/>
      <w:lvlText w:val="%1.%2.%3.%4.%5.%6.%7"/>
      <w:lvlJc w:val="left"/>
      <w:pPr>
        <w:ind w:left="5902" w:hanging="1440"/>
      </w:pPr>
    </w:lvl>
    <w:lvl w:ilvl="7">
      <w:start w:val="1"/>
      <w:numFmt w:val="decimal"/>
      <w:lvlText w:val="%1.%2.%3.%4.%5.%6.%7.%8"/>
      <w:lvlJc w:val="left"/>
      <w:pPr>
        <w:ind w:left="6982" w:hanging="1800"/>
      </w:pPr>
    </w:lvl>
    <w:lvl w:ilvl="8">
      <w:start w:val="1"/>
      <w:numFmt w:val="decimal"/>
      <w:lvlText w:val="%1.%2.%3.%4.%5.%6.%7.%8.%9"/>
      <w:lvlJc w:val="left"/>
      <w:pPr>
        <w:ind w:left="7702" w:hanging="1800"/>
      </w:pPr>
    </w:lvl>
  </w:abstractNum>
  <w:abstractNum w:abstractNumId="21" w15:restartNumberingAfterBreak="0">
    <w:nsid w:val="401A5CA8"/>
    <w:multiLevelType w:val="hybridMultilevel"/>
    <w:tmpl w:val="85708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13491C"/>
    <w:multiLevelType w:val="hybridMultilevel"/>
    <w:tmpl w:val="7F9E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951F7"/>
    <w:multiLevelType w:val="hybridMultilevel"/>
    <w:tmpl w:val="638E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5"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C1CD8"/>
    <w:multiLevelType w:val="hybridMultilevel"/>
    <w:tmpl w:val="3EA6D8B4"/>
    <w:lvl w:ilvl="0" w:tplc="F9582AD4">
      <w:start w:val="1"/>
      <w:numFmt w:val="lowerRoman"/>
      <w:lvlText w:val="%1."/>
      <w:lvlJc w:val="righ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29520DE"/>
    <w:multiLevelType w:val="hybridMultilevel"/>
    <w:tmpl w:val="34C0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434451">
    <w:abstractNumId w:val="24"/>
  </w:num>
  <w:num w:numId="2" w16cid:durableId="453252290">
    <w:abstractNumId w:val="34"/>
  </w:num>
  <w:num w:numId="3" w16cid:durableId="1740713217">
    <w:abstractNumId w:val="13"/>
  </w:num>
  <w:num w:numId="4" w16cid:durableId="976494960">
    <w:abstractNumId w:val="17"/>
  </w:num>
  <w:num w:numId="5" w16cid:durableId="1168449018">
    <w:abstractNumId w:val="29"/>
  </w:num>
  <w:num w:numId="6" w16cid:durableId="291064246">
    <w:abstractNumId w:val="16"/>
  </w:num>
  <w:num w:numId="7" w16cid:durableId="1306620850">
    <w:abstractNumId w:val="32"/>
  </w:num>
  <w:num w:numId="8" w16cid:durableId="1644381691">
    <w:abstractNumId w:val="9"/>
  </w:num>
  <w:num w:numId="9" w16cid:durableId="35861182">
    <w:abstractNumId w:val="7"/>
  </w:num>
  <w:num w:numId="10" w16cid:durableId="663050278">
    <w:abstractNumId w:val="6"/>
  </w:num>
  <w:num w:numId="11" w16cid:durableId="1024791491">
    <w:abstractNumId w:val="5"/>
  </w:num>
  <w:num w:numId="12" w16cid:durableId="844367437">
    <w:abstractNumId w:val="4"/>
  </w:num>
  <w:num w:numId="13" w16cid:durableId="1391075921">
    <w:abstractNumId w:val="8"/>
  </w:num>
  <w:num w:numId="14" w16cid:durableId="2011832765">
    <w:abstractNumId w:val="3"/>
  </w:num>
  <w:num w:numId="15" w16cid:durableId="1558471069">
    <w:abstractNumId w:val="2"/>
  </w:num>
  <w:num w:numId="16" w16cid:durableId="1793476849">
    <w:abstractNumId w:val="1"/>
  </w:num>
  <w:num w:numId="17" w16cid:durableId="980696638">
    <w:abstractNumId w:val="0"/>
  </w:num>
  <w:num w:numId="18" w16cid:durableId="23403836">
    <w:abstractNumId w:val="11"/>
  </w:num>
  <w:num w:numId="19" w16cid:durableId="880365604">
    <w:abstractNumId w:val="25"/>
  </w:num>
  <w:num w:numId="20" w16cid:durableId="9835052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9491401">
    <w:abstractNumId w:val="33"/>
  </w:num>
  <w:num w:numId="22" w16cid:durableId="394665026">
    <w:abstractNumId w:val="12"/>
  </w:num>
  <w:num w:numId="23" w16cid:durableId="2101683500">
    <w:abstractNumId w:val="18"/>
  </w:num>
  <w:num w:numId="24" w16cid:durableId="136189036">
    <w:abstractNumId w:val="28"/>
  </w:num>
  <w:num w:numId="25" w16cid:durableId="1489785300">
    <w:abstractNumId w:val="26"/>
  </w:num>
  <w:num w:numId="26" w16cid:durableId="274212030">
    <w:abstractNumId w:val="31"/>
  </w:num>
  <w:num w:numId="27" w16cid:durableId="1907493576">
    <w:abstractNumId w:val="18"/>
    <w:lvlOverride w:ilvl="0">
      <w:startOverride w:val="1"/>
    </w:lvlOverride>
  </w:num>
  <w:num w:numId="28" w16cid:durableId="1412190646">
    <w:abstractNumId w:val="18"/>
    <w:lvlOverride w:ilvl="0">
      <w:startOverride w:val="1"/>
    </w:lvlOverride>
  </w:num>
  <w:num w:numId="29" w16cid:durableId="291399105">
    <w:abstractNumId w:val="18"/>
    <w:lvlOverride w:ilvl="0">
      <w:startOverride w:val="1"/>
    </w:lvlOverride>
  </w:num>
  <w:num w:numId="30" w16cid:durableId="1373967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7605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4437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0620901">
    <w:abstractNumId w:val="21"/>
  </w:num>
  <w:num w:numId="34" w16cid:durableId="1316030296">
    <w:abstractNumId w:val="22"/>
  </w:num>
  <w:num w:numId="35" w16cid:durableId="1172456134">
    <w:abstractNumId w:val="15"/>
  </w:num>
  <w:num w:numId="36" w16cid:durableId="1918661242">
    <w:abstractNumId w:val="10"/>
  </w:num>
  <w:num w:numId="37" w16cid:durableId="1047536234">
    <w:abstractNumId w:val="27"/>
  </w:num>
  <w:num w:numId="38" w16cid:durableId="803086524">
    <w:abstractNumId w:val="14"/>
  </w:num>
  <w:num w:numId="39" w16cid:durableId="782847958">
    <w:abstractNumId w:val="30"/>
  </w:num>
  <w:num w:numId="40" w16cid:durableId="606079872">
    <w:abstractNumId w:val="23"/>
  </w:num>
  <w:num w:numId="41" w16cid:durableId="737050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16883"/>
    <w:rsid w:val="00021C83"/>
    <w:rsid w:val="00030742"/>
    <w:rsid w:val="000423C2"/>
    <w:rsid w:val="000525E6"/>
    <w:rsid w:val="00067966"/>
    <w:rsid w:val="000753A8"/>
    <w:rsid w:val="00084894"/>
    <w:rsid w:val="0009597B"/>
    <w:rsid w:val="00096435"/>
    <w:rsid w:val="000A6EAC"/>
    <w:rsid w:val="000D0B2C"/>
    <w:rsid w:val="000D23F4"/>
    <w:rsid w:val="000D3EF5"/>
    <w:rsid w:val="000F0838"/>
    <w:rsid w:val="000F13D6"/>
    <w:rsid w:val="000F431D"/>
    <w:rsid w:val="00117556"/>
    <w:rsid w:val="0012564B"/>
    <w:rsid w:val="00134131"/>
    <w:rsid w:val="00135284"/>
    <w:rsid w:val="001404D9"/>
    <w:rsid w:val="001477BC"/>
    <w:rsid w:val="0015225C"/>
    <w:rsid w:val="00153F54"/>
    <w:rsid w:val="00161EDB"/>
    <w:rsid w:val="00176A6B"/>
    <w:rsid w:val="001A52A7"/>
    <w:rsid w:val="001B6874"/>
    <w:rsid w:val="001C0E14"/>
    <w:rsid w:val="001D610B"/>
    <w:rsid w:val="001E09F2"/>
    <w:rsid w:val="001E104C"/>
    <w:rsid w:val="001E196D"/>
    <w:rsid w:val="001E1B0F"/>
    <w:rsid w:val="001E5082"/>
    <w:rsid w:val="0021148E"/>
    <w:rsid w:val="00252148"/>
    <w:rsid w:val="00261178"/>
    <w:rsid w:val="00261A26"/>
    <w:rsid w:val="00263057"/>
    <w:rsid w:val="00267D83"/>
    <w:rsid w:val="00276D78"/>
    <w:rsid w:val="002823CE"/>
    <w:rsid w:val="002967E2"/>
    <w:rsid w:val="002A4EE3"/>
    <w:rsid w:val="002B63D8"/>
    <w:rsid w:val="002C5D9D"/>
    <w:rsid w:val="002F3B5B"/>
    <w:rsid w:val="00310A76"/>
    <w:rsid w:val="003205F6"/>
    <w:rsid w:val="0032264E"/>
    <w:rsid w:val="003517FB"/>
    <w:rsid w:val="003526E4"/>
    <w:rsid w:val="00381A11"/>
    <w:rsid w:val="00397455"/>
    <w:rsid w:val="00397DF5"/>
    <w:rsid w:val="003B30EC"/>
    <w:rsid w:val="003C2126"/>
    <w:rsid w:val="00435DB2"/>
    <w:rsid w:val="00450992"/>
    <w:rsid w:val="00454793"/>
    <w:rsid w:val="004618C7"/>
    <w:rsid w:val="0046381F"/>
    <w:rsid w:val="0047087F"/>
    <w:rsid w:val="004734A0"/>
    <w:rsid w:val="00484FF2"/>
    <w:rsid w:val="004A0911"/>
    <w:rsid w:val="004B20D0"/>
    <w:rsid w:val="004D1FDB"/>
    <w:rsid w:val="004E6F06"/>
    <w:rsid w:val="004F3D8E"/>
    <w:rsid w:val="004F5D57"/>
    <w:rsid w:val="005005F9"/>
    <w:rsid w:val="005035F0"/>
    <w:rsid w:val="00503782"/>
    <w:rsid w:val="0050649B"/>
    <w:rsid w:val="00530F92"/>
    <w:rsid w:val="0053121C"/>
    <w:rsid w:val="00537AEA"/>
    <w:rsid w:val="0054428C"/>
    <w:rsid w:val="0055051B"/>
    <w:rsid w:val="00552BA0"/>
    <w:rsid w:val="0056661F"/>
    <w:rsid w:val="00570C2A"/>
    <w:rsid w:val="00595C53"/>
    <w:rsid w:val="005A2387"/>
    <w:rsid w:val="005A5AD5"/>
    <w:rsid w:val="005B0A16"/>
    <w:rsid w:val="005B4809"/>
    <w:rsid w:val="005B66CB"/>
    <w:rsid w:val="005B71FA"/>
    <w:rsid w:val="005C1286"/>
    <w:rsid w:val="005D3AB3"/>
    <w:rsid w:val="005D3DFB"/>
    <w:rsid w:val="005D691A"/>
    <w:rsid w:val="0060088D"/>
    <w:rsid w:val="006225F7"/>
    <w:rsid w:val="0063419F"/>
    <w:rsid w:val="00645C47"/>
    <w:rsid w:val="006649BD"/>
    <w:rsid w:val="00664D4D"/>
    <w:rsid w:val="00675991"/>
    <w:rsid w:val="00684ACE"/>
    <w:rsid w:val="00686B34"/>
    <w:rsid w:val="006A0052"/>
    <w:rsid w:val="006A4FE6"/>
    <w:rsid w:val="006B33D7"/>
    <w:rsid w:val="006D6498"/>
    <w:rsid w:val="006E03A1"/>
    <w:rsid w:val="006E2E7D"/>
    <w:rsid w:val="00700188"/>
    <w:rsid w:val="007030E3"/>
    <w:rsid w:val="0071039C"/>
    <w:rsid w:val="00722FD5"/>
    <w:rsid w:val="00734D37"/>
    <w:rsid w:val="00737F77"/>
    <w:rsid w:val="00766200"/>
    <w:rsid w:val="007702D4"/>
    <w:rsid w:val="0077217C"/>
    <w:rsid w:val="00786814"/>
    <w:rsid w:val="007A0E66"/>
    <w:rsid w:val="007A7210"/>
    <w:rsid w:val="007A7AC3"/>
    <w:rsid w:val="007E0C23"/>
    <w:rsid w:val="00803D56"/>
    <w:rsid w:val="0080657A"/>
    <w:rsid w:val="00815A26"/>
    <w:rsid w:val="00824DDD"/>
    <w:rsid w:val="00834AFD"/>
    <w:rsid w:val="008467C2"/>
    <w:rsid w:val="00854E81"/>
    <w:rsid w:val="008569CD"/>
    <w:rsid w:val="00862D95"/>
    <w:rsid w:val="00866360"/>
    <w:rsid w:val="00874D8E"/>
    <w:rsid w:val="0088599E"/>
    <w:rsid w:val="00891365"/>
    <w:rsid w:val="008C1175"/>
    <w:rsid w:val="008C551C"/>
    <w:rsid w:val="008D254A"/>
    <w:rsid w:val="008F4F67"/>
    <w:rsid w:val="0091761E"/>
    <w:rsid w:val="00922CA3"/>
    <w:rsid w:val="00923FFB"/>
    <w:rsid w:val="009359B4"/>
    <w:rsid w:val="00955A98"/>
    <w:rsid w:val="00971EA6"/>
    <w:rsid w:val="00973B36"/>
    <w:rsid w:val="00973C73"/>
    <w:rsid w:val="0098001E"/>
    <w:rsid w:val="00993BF9"/>
    <w:rsid w:val="009A3418"/>
    <w:rsid w:val="009B29DB"/>
    <w:rsid w:val="009C2331"/>
    <w:rsid w:val="009C26A5"/>
    <w:rsid w:val="009C6886"/>
    <w:rsid w:val="009D2881"/>
    <w:rsid w:val="009D4EF7"/>
    <w:rsid w:val="009E1A4C"/>
    <w:rsid w:val="009F2803"/>
    <w:rsid w:val="00A01818"/>
    <w:rsid w:val="00A03398"/>
    <w:rsid w:val="00A06524"/>
    <w:rsid w:val="00A10647"/>
    <w:rsid w:val="00A17065"/>
    <w:rsid w:val="00A30CA3"/>
    <w:rsid w:val="00A612DB"/>
    <w:rsid w:val="00A640A2"/>
    <w:rsid w:val="00A70447"/>
    <w:rsid w:val="00A82B8E"/>
    <w:rsid w:val="00AA04B2"/>
    <w:rsid w:val="00AD1CA8"/>
    <w:rsid w:val="00AD4C56"/>
    <w:rsid w:val="00AF22AF"/>
    <w:rsid w:val="00AF6A33"/>
    <w:rsid w:val="00AF742A"/>
    <w:rsid w:val="00B04A83"/>
    <w:rsid w:val="00B05A36"/>
    <w:rsid w:val="00B07ADE"/>
    <w:rsid w:val="00B12087"/>
    <w:rsid w:val="00B12965"/>
    <w:rsid w:val="00B1455D"/>
    <w:rsid w:val="00B35976"/>
    <w:rsid w:val="00B36065"/>
    <w:rsid w:val="00B528ED"/>
    <w:rsid w:val="00B548D2"/>
    <w:rsid w:val="00B54D4D"/>
    <w:rsid w:val="00B6307B"/>
    <w:rsid w:val="00B75892"/>
    <w:rsid w:val="00B86E39"/>
    <w:rsid w:val="00B92905"/>
    <w:rsid w:val="00BA6C69"/>
    <w:rsid w:val="00BC7369"/>
    <w:rsid w:val="00BC77B0"/>
    <w:rsid w:val="00BE191F"/>
    <w:rsid w:val="00C0100A"/>
    <w:rsid w:val="00C05B84"/>
    <w:rsid w:val="00C24D8F"/>
    <w:rsid w:val="00C30F00"/>
    <w:rsid w:val="00C341BE"/>
    <w:rsid w:val="00C42EF6"/>
    <w:rsid w:val="00C458FB"/>
    <w:rsid w:val="00C9033A"/>
    <w:rsid w:val="00C938DA"/>
    <w:rsid w:val="00CA1500"/>
    <w:rsid w:val="00CA6EDB"/>
    <w:rsid w:val="00CB137C"/>
    <w:rsid w:val="00CB1F64"/>
    <w:rsid w:val="00CB5D44"/>
    <w:rsid w:val="00CD582A"/>
    <w:rsid w:val="00CE47D3"/>
    <w:rsid w:val="00CE608D"/>
    <w:rsid w:val="00CF46A9"/>
    <w:rsid w:val="00D447ED"/>
    <w:rsid w:val="00D5591B"/>
    <w:rsid w:val="00D70F0F"/>
    <w:rsid w:val="00D973DB"/>
    <w:rsid w:val="00DA7F3A"/>
    <w:rsid w:val="00DD7E12"/>
    <w:rsid w:val="00DE4B6E"/>
    <w:rsid w:val="00E24A5F"/>
    <w:rsid w:val="00E374E4"/>
    <w:rsid w:val="00E40BAE"/>
    <w:rsid w:val="00E53462"/>
    <w:rsid w:val="00E734C7"/>
    <w:rsid w:val="00E84FDC"/>
    <w:rsid w:val="00EB33B4"/>
    <w:rsid w:val="00EC0CD6"/>
    <w:rsid w:val="00ED1374"/>
    <w:rsid w:val="00ED184E"/>
    <w:rsid w:val="00EE23DF"/>
    <w:rsid w:val="00F07112"/>
    <w:rsid w:val="00F107FB"/>
    <w:rsid w:val="00F132D0"/>
    <w:rsid w:val="00F17158"/>
    <w:rsid w:val="00F227A2"/>
    <w:rsid w:val="00F314A6"/>
    <w:rsid w:val="00F56CFD"/>
    <w:rsid w:val="00F618BF"/>
    <w:rsid w:val="00F74ABA"/>
    <w:rsid w:val="00F77E1A"/>
    <w:rsid w:val="00F84635"/>
    <w:rsid w:val="00FA0DCE"/>
    <w:rsid w:val="00FA19C7"/>
    <w:rsid w:val="00FA20F1"/>
    <w:rsid w:val="00FA30DC"/>
    <w:rsid w:val="00FB4D9E"/>
    <w:rsid w:val="00FC6E7A"/>
    <w:rsid w:val="023A58F4"/>
    <w:rsid w:val="05CD8AEA"/>
    <w:rsid w:val="06299956"/>
    <w:rsid w:val="07695B4B"/>
    <w:rsid w:val="09052BAC"/>
    <w:rsid w:val="0AE4C40C"/>
    <w:rsid w:val="14017AFF"/>
    <w:rsid w:val="29A02E05"/>
    <w:rsid w:val="2BAFCBBD"/>
    <w:rsid w:val="2E4E995D"/>
    <w:rsid w:val="3005B0F2"/>
    <w:rsid w:val="30833CE0"/>
    <w:rsid w:val="31C1B83E"/>
    <w:rsid w:val="323907D4"/>
    <w:rsid w:val="3E80B9F5"/>
    <w:rsid w:val="3F69D045"/>
    <w:rsid w:val="47CA1467"/>
    <w:rsid w:val="4965E4C8"/>
    <w:rsid w:val="4C5958E4"/>
    <w:rsid w:val="4DAED960"/>
    <w:rsid w:val="4F94E74F"/>
    <w:rsid w:val="4FA6E6AC"/>
    <w:rsid w:val="54EE8B6B"/>
    <w:rsid w:val="5CB3A954"/>
    <w:rsid w:val="5E4F79B5"/>
    <w:rsid w:val="66F0F98A"/>
    <w:rsid w:val="7511F9C7"/>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7"/>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C0100A"/>
    <w:pPr>
      <w:numPr>
        <w:numId w:val="5"/>
      </w:numPr>
      <w:spacing w:before="360" w:after="120"/>
      <w:ind w:left="431" w:hanging="431"/>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737F77"/>
    <w:pPr>
      <w:numPr>
        <w:ilvl w:val="1"/>
        <w:numId w:val="5"/>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737F77"/>
    <w:pPr>
      <w:numPr>
        <w:ilvl w:val="2"/>
        <w:numId w:val="5"/>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3B30EC"/>
    <w:pPr>
      <w:numPr>
        <w:ilvl w:val="3"/>
        <w:numId w:val="5"/>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5"/>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C0100A"/>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737F77"/>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737F77"/>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3"/>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paragraph" w:styleId="NoSpacing">
    <w:name w:val="No Spacing"/>
    <w:basedOn w:val="Normal"/>
    <w:uiPriority w:val="1"/>
    <w:qFormat/>
    <w:rsid w:val="00AF22AF"/>
    <w:pPr>
      <w:spacing w:after="0" w:line="240" w:lineRule="auto"/>
    </w:pPr>
    <w:rPr>
      <w:rFonts w:eastAsia="Calibri" w:cs="Arial"/>
      <w:color w:val="auto"/>
      <w:szCs w:val="24"/>
      <w:lang w:val="en-US" w:bidi="en-US"/>
    </w:rPr>
  </w:style>
  <w:style w:type="paragraph" w:styleId="NormalWeb">
    <w:name w:val="Normal (Web)"/>
    <w:basedOn w:val="Normal"/>
    <w:uiPriority w:val="99"/>
    <w:unhideWhenUsed/>
    <w:rsid w:val="00AF22AF"/>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BodyText">
    <w:name w:val="Body Text"/>
    <w:basedOn w:val="Normal"/>
    <w:link w:val="BodyTextChar"/>
    <w:uiPriority w:val="99"/>
    <w:unhideWhenUsed/>
    <w:rsid w:val="00AF22AF"/>
    <w:pPr>
      <w:spacing w:after="240" w:line="320" w:lineRule="exact"/>
    </w:pPr>
    <w:rPr>
      <w:rFonts w:asciiTheme="minorHAnsi" w:hAnsiTheme="minorHAnsi"/>
      <w:color w:val="auto"/>
      <w:szCs w:val="24"/>
    </w:rPr>
  </w:style>
  <w:style w:type="character" w:customStyle="1" w:styleId="BodyTextChar">
    <w:name w:val="Body Text Char"/>
    <w:basedOn w:val="DefaultParagraphFont"/>
    <w:link w:val="BodyText"/>
    <w:uiPriority w:val="99"/>
    <w:rsid w:val="00AF22A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search/Pages/concordat.aspx" TargetMode="External"/><Relationship Id="rId18" Type="http://schemas.openxmlformats.org/officeDocument/2006/relationships/hyperlink" Target="http://www.researcherdevelopmentconcorda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DRsecretariat@universitiesuk.ac.uk"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DRsecretariat@universitiesuk.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morgan@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97638d91-e0ae-4724-b992-7d4e44ebe226"/>
    <ds:schemaRef ds:uri="56acc1ed-89b0-4c84-ade6-ff8a840bd687"/>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4.xml><?xml version="1.0" encoding="utf-8"?>
<ds:datastoreItem xmlns:ds="http://schemas.openxmlformats.org/officeDocument/2006/customXml" ds:itemID="{DC0CEEE5-37BE-4D49-83B7-822E4E84240A}"/>
</file>

<file path=docProps/app.xml><?xml version="1.0" encoding="utf-8"?>
<Properties xmlns="http://schemas.openxmlformats.org/officeDocument/2006/extended-properties" xmlns:vt="http://schemas.openxmlformats.org/officeDocument/2006/docPropsVTypes">
  <Template>Normal</Template>
  <TotalTime>9</TotalTime>
  <Pages>6</Pages>
  <Words>2289</Words>
  <Characters>13053</Characters>
  <Application>Microsoft Office Word</Application>
  <DocSecurity>0</DocSecurity>
  <Lines>108</Lines>
  <Paragraphs>30</Paragraphs>
  <ScaleCrop>false</ScaleCrop>
  <Company>Cardiff Metropolitan University</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Govers, Orla</cp:lastModifiedBy>
  <cp:revision>3</cp:revision>
  <dcterms:created xsi:type="dcterms:W3CDTF">2023-02-14T11:16:00Z</dcterms:created>
  <dcterms:modified xsi:type="dcterms:W3CDTF">2023-02-14T11:23:00Z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Notes1">
    <vt:lpwstr>SPPC12/01.22-23</vt:lpwstr>
  </property>
  <property fmtid="{D5CDD505-2E9C-101B-9397-08002B2CF9AE}" pid="13" name="Sensitivity">
    <vt:lpwstr>Public</vt:lpwstr>
  </property>
  <property fmtid="{D5CDD505-2E9C-101B-9397-08002B2CF9AE}" pid="14" name="_SourceUrl">
    <vt:lpwstr/>
  </property>
  <property fmtid="{D5CDD505-2E9C-101B-9397-08002B2CF9AE}" pid="15" name="_SharedFileIndex">
    <vt:lpwstr/>
  </property>
  <property fmtid="{D5CDD505-2E9C-101B-9397-08002B2CF9AE}" pid="16" name="MediaServiceImageTags">
    <vt:lpwstr/>
  </property>
</Properties>
</file>